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1B839">
      <w:pPr>
        <w:keepNext w:val="0"/>
        <w:keepLines w:val="0"/>
        <w:pageBreakBefore w:val="0"/>
        <w:kinsoku/>
        <w:wordWrap w:val="0"/>
        <w:overflowPunct/>
        <w:topLinePunct w:val="0"/>
        <w:bidi w:val="0"/>
        <w:snapToGrid/>
        <w:spacing w:before="157" w:beforeLines="50" w:after="157" w:afterLines="50" w:line="360" w:lineRule="auto"/>
        <w:ind w:firstLine="0" w:firstLineChars="0"/>
        <w:jc w:val="right"/>
        <w:rPr>
          <w:rFonts w:hint="default" w:ascii="微软雅黑" w:hAnsi="微软雅黑" w:eastAsia="微软雅黑" w:cs="微软雅黑"/>
          <w:color w:val="auto"/>
          <w:sz w:val="18"/>
          <w:szCs w:val="18"/>
          <w:lang w:val="en-US" w:eastAsia="zh-CN"/>
        </w:rPr>
      </w:pPr>
      <w:r>
        <w:rPr>
          <w:rFonts w:hint="eastAsia" w:ascii="微软雅黑" w:hAnsi="微软雅黑" w:eastAsia="微软雅黑" w:cs="微软雅黑"/>
          <w:color w:val="auto"/>
          <w:sz w:val="18"/>
          <w:szCs w:val="18"/>
        </w:rPr>
        <w:t>协议编号：</w:t>
      </w:r>
      <w:permStart w:id="0" w:edGrp="everyone"/>
      <w:r>
        <w:rPr>
          <w:rFonts w:hint="eastAsia" w:ascii="微软雅黑" w:hAnsi="微软雅黑" w:cs="微软雅黑"/>
          <w:color w:val="auto"/>
          <w:sz w:val="18"/>
          <w:szCs w:val="18"/>
          <w:lang w:val="en-US" w:eastAsia="zh-CN"/>
        </w:rPr>
        <w:t xml:space="preserve">  2026-8-10 </w:t>
      </w:r>
      <w:permEnd w:id="0"/>
    </w:p>
    <w:p w14:paraId="101EA178">
      <w:pPr>
        <w:pStyle w:val="30"/>
        <w:pageBreakBefore w:val="0"/>
        <w:kinsoku/>
        <w:wordWrap/>
        <w:overflowPunct/>
        <w:topLinePunct w:val="0"/>
        <w:bidi w:val="0"/>
        <w:snapToGrid/>
        <w:spacing w:before="157" w:beforeLines="50" w:after="157" w:afterLines="50" w:line="360" w:lineRule="auto"/>
        <w:jc w:val="center"/>
        <w:rPr>
          <w:rFonts w:hint="eastAsia" w:ascii="微软雅黑" w:hAnsi="微软雅黑" w:eastAsia="微软雅黑" w:cs="微软雅黑"/>
          <w:b/>
          <w:color w:val="auto"/>
          <w:sz w:val="18"/>
          <w:szCs w:val="18"/>
        </w:rPr>
      </w:pPr>
      <w:r>
        <w:rPr>
          <w:rFonts w:hint="eastAsia" w:cs="微软雅黑"/>
          <w:color w:val="auto"/>
          <w:sz w:val="28"/>
          <w:szCs w:val="28"/>
          <w:lang w:val="en-US" w:eastAsia="zh-CN"/>
        </w:rPr>
        <w:t>跨境</w:t>
      </w:r>
      <w:r>
        <w:rPr>
          <w:rFonts w:hint="eastAsia" w:ascii="微软雅黑" w:hAnsi="微软雅黑" w:eastAsia="微软雅黑" w:cs="微软雅黑"/>
          <w:color w:val="auto"/>
          <w:sz w:val="28"/>
          <w:szCs w:val="28"/>
        </w:rPr>
        <w:t>支付服务协议</w:t>
      </w:r>
      <w:r>
        <w:rPr>
          <w:rFonts w:hint="eastAsia" w:ascii="微软雅黑" w:hAnsi="微软雅黑" w:eastAsia="微软雅黑" w:cs="微软雅黑"/>
          <w:b/>
          <w:color w:val="auto"/>
          <w:sz w:val="18"/>
          <w:szCs w:val="18"/>
        </w:rPr>
        <w:t xml:space="preserve">       </w:t>
      </w:r>
    </w:p>
    <w:p w14:paraId="500D5EF1">
      <w:pPr>
        <w:spacing w:before="20" w:after="40" w:line="300" w:lineRule="auto"/>
        <w:rPr>
          <w:rFonts w:hint="eastAsia" w:ascii="微软雅黑" w:hAnsi="微软雅黑"/>
          <w:b/>
          <w:sz w:val="21"/>
          <w:lang w:eastAsia="zh-CN"/>
        </w:rPr>
      </w:pPr>
      <w:r>
        <w:rPr>
          <w:rFonts w:ascii="微软雅黑" w:hAnsi="微软雅黑" w:eastAsia="微软雅黑"/>
          <w:b/>
          <w:sz w:val="21"/>
        </w:rPr>
        <w:t>甲 方</w:t>
      </w:r>
      <w:r>
        <w:rPr>
          <w:rFonts w:hint="eastAsia" w:ascii="微软雅黑" w:hAnsi="微软雅黑"/>
          <w:b/>
          <w:sz w:val="21"/>
          <w:lang w:eastAsia="zh-CN"/>
        </w:rPr>
        <w:t>：</w:t>
      </w:r>
    </w:p>
    <w:p w14:paraId="42F59616">
      <w:pPr>
        <w:spacing w:before="20" w:after="40" w:line="300" w:lineRule="auto"/>
      </w:pPr>
      <w:bookmarkStart w:id="8" w:name="_GoBack"/>
      <w:bookmarkEnd w:id="8"/>
      <w:r>
        <w:rPr>
          <w:rFonts w:ascii="微软雅黑" w:hAnsi="微软雅黑" w:eastAsia="微软雅黑"/>
          <w:b/>
          <w:sz w:val="21"/>
        </w:rPr>
        <w:t>地 址：</w:t>
      </w:r>
    </w:p>
    <w:p w14:paraId="4C48533C">
      <w:pPr>
        <w:spacing w:before="20" w:after="40" w:line="300" w:lineRule="auto"/>
        <w:rPr>
          <w:rFonts w:ascii="微软雅黑" w:hAnsi="微软雅黑" w:eastAsia="微软雅黑"/>
          <w:b/>
          <w:sz w:val="21"/>
        </w:rPr>
      </w:pPr>
      <w:r>
        <w:rPr>
          <w:rFonts w:ascii="微软雅黑" w:hAnsi="微软雅黑" w:eastAsia="微软雅黑"/>
          <w:b/>
          <w:sz w:val="21"/>
        </w:rPr>
        <w:t>联系人：</w:t>
      </w:r>
    </w:p>
    <w:p w14:paraId="169372A0">
      <w:pPr>
        <w:spacing w:before="20" w:after="40" w:line="300" w:lineRule="auto"/>
      </w:pPr>
      <w:r>
        <w:rPr>
          <w:rFonts w:ascii="微软雅黑" w:hAnsi="微软雅黑" w:eastAsia="微软雅黑"/>
          <w:b/>
          <w:sz w:val="21"/>
        </w:rPr>
        <w:t>联系方式：</w:t>
      </w:r>
    </w:p>
    <w:p w14:paraId="7FCB59F3">
      <w:pPr>
        <w:spacing w:before="20" w:after="40" w:line="300" w:lineRule="auto"/>
      </w:pPr>
      <w:r>
        <w:rPr>
          <w:rFonts w:ascii="微软雅黑" w:hAnsi="微软雅黑" w:eastAsia="微软雅黑"/>
          <w:b/>
          <w:sz w:val="21"/>
        </w:rPr>
        <w:t>公司注册号码（统一社会信用代码）：</w:t>
      </w:r>
    </w:p>
    <w:p w14:paraId="31C7357C">
      <w:pPr>
        <w:keepNext w:val="0"/>
        <w:keepLines w:val="0"/>
        <w:pageBreakBefore w:val="0"/>
        <w:widowControl w:val="0"/>
        <w:kinsoku/>
        <w:wordWrap/>
        <w:overflowPunct/>
        <w:topLinePunct w:val="0"/>
        <w:autoSpaceDE/>
        <w:autoSpaceDN/>
        <w:bidi w:val="0"/>
        <w:adjustRightInd/>
        <w:snapToGrid/>
        <w:spacing w:before="0" w:beforeLines="0" w:after="0" w:line="240" w:lineRule="auto"/>
        <w:jc w:val="both"/>
        <w:textAlignment w:val="auto"/>
        <w:rPr>
          <w:rFonts w:hint="eastAsia" w:ascii="微软雅黑" w:hAnsi="微软雅黑" w:eastAsia="微软雅黑" w:cs="微软雅黑"/>
          <w:bCs/>
          <w:color w:val="auto"/>
          <w:kern w:val="2"/>
          <w:sz w:val="21"/>
          <w:szCs w:val="21"/>
          <w:lang w:val="en-US" w:eastAsia="zh-CN" w:bidi="ar-SA"/>
        </w:rPr>
      </w:pPr>
    </w:p>
    <w:p w14:paraId="1F4BB001">
      <w:pPr>
        <w:spacing w:before="20" w:after="40" w:line="300" w:lineRule="auto"/>
        <w:rPr>
          <w:rFonts w:hint="default" w:ascii="微软雅黑" w:hAnsi="微软雅黑" w:eastAsia="微软雅黑"/>
          <w:b/>
          <w:sz w:val="21"/>
          <w:lang w:val="en-US" w:eastAsia="zh-CN"/>
        </w:rPr>
      </w:pPr>
      <w:r>
        <w:rPr>
          <w:rFonts w:hint="eastAsia" w:ascii="微软雅黑" w:hAnsi="微软雅黑" w:eastAsia="微软雅黑"/>
          <w:b/>
          <w:sz w:val="21"/>
        </w:rPr>
        <w:t xml:space="preserve">乙 方： </w:t>
      </w:r>
    </w:p>
    <w:p w14:paraId="6154F126">
      <w:pPr>
        <w:spacing w:before="20" w:after="40" w:line="300" w:lineRule="auto"/>
        <w:rPr>
          <w:rFonts w:hint="eastAsia" w:ascii="微软雅黑" w:hAnsi="微软雅黑" w:eastAsia="微软雅黑"/>
          <w:b/>
          <w:sz w:val="21"/>
        </w:rPr>
      </w:pPr>
      <w:r>
        <w:rPr>
          <w:rFonts w:hint="eastAsia" w:ascii="微软雅黑" w:hAnsi="微软雅黑" w:eastAsia="微软雅黑"/>
          <w:b/>
          <w:sz w:val="21"/>
        </w:rPr>
        <w:t xml:space="preserve">地 址： </w:t>
      </w:r>
    </w:p>
    <w:p w14:paraId="38EB9CA6">
      <w:pPr>
        <w:spacing w:before="20" w:after="40" w:line="300" w:lineRule="auto"/>
        <w:rPr>
          <w:rFonts w:hint="eastAsia" w:ascii="微软雅黑" w:hAnsi="微软雅黑" w:eastAsia="微软雅黑"/>
          <w:b/>
          <w:sz w:val="21"/>
          <w:lang w:eastAsia="zh-CN"/>
        </w:rPr>
      </w:pPr>
      <w:r>
        <w:rPr>
          <w:rFonts w:hint="eastAsia" w:ascii="微软雅黑" w:hAnsi="微软雅黑" w:eastAsia="微软雅黑"/>
          <w:b/>
          <w:sz w:val="21"/>
        </w:rPr>
        <w:t>联系人</w:t>
      </w:r>
      <w:r>
        <w:rPr>
          <w:rFonts w:hint="eastAsia" w:ascii="微软雅黑" w:hAnsi="微软雅黑" w:eastAsia="微软雅黑"/>
          <w:b/>
          <w:sz w:val="21"/>
          <w:lang w:eastAsia="zh-CN"/>
        </w:rPr>
        <w:t>：</w:t>
      </w:r>
    </w:p>
    <w:p w14:paraId="648AA032">
      <w:pPr>
        <w:spacing w:before="20" w:after="40" w:line="300" w:lineRule="auto"/>
        <w:rPr>
          <w:rFonts w:hint="eastAsia" w:ascii="微软雅黑" w:hAnsi="微软雅黑" w:eastAsia="微软雅黑"/>
          <w:b/>
          <w:sz w:val="21"/>
          <w:lang w:eastAsia="zh-CN"/>
        </w:rPr>
      </w:pPr>
      <w:r>
        <w:rPr>
          <w:rFonts w:hint="eastAsia" w:ascii="微软雅黑" w:hAnsi="微软雅黑" w:eastAsia="微软雅黑"/>
          <w:b/>
          <w:sz w:val="21"/>
        </w:rPr>
        <w:t>联系方式</w:t>
      </w:r>
      <w:r>
        <w:rPr>
          <w:rFonts w:hint="eastAsia" w:ascii="微软雅黑" w:hAnsi="微软雅黑" w:eastAsia="微软雅黑"/>
          <w:b/>
          <w:sz w:val="21"/>
          <w:lang w:eastAsia="zh-CN"/>
        </w:rPr>
        <w:t>：</w:t>
      </w:r>
    </w:p>
    <w:p w14:paraId="2391CBF9">
      <w:pPr>
        <w:spacing w:before="20" w:after="40" w:line="300" w:lineRule="auto"/>
        <w:rPr>
          <w:rFonts w:hint="eastAsia" w:ascii="微软雅黑" w:hAnsi="微软雅黑" w:eastAsia="微软雅黑" w:cs="微软雅黑"/>
          <w:color w:val="auto"/>
          <w:sz w:val="21"/>
          <w:szCs w:val="21"/>
        </w:rPr>
      </w:pPr>
      <w:r>
        <w:rPr>
          <w:rFonts w:hint="eastAsia" w:ascii="微软雅黑" w:hAnsi="微软雅黑" w:eastAsia="微软雅黑"/>
          <w:b/>
          <w:sz w:val="21"/>
          <w:lang w:val="en-US" w:eastAsia="zh-CN"/>
        </w:rPr>
        <w:t>公司注册号码（统一社会信用代码）：</w:t>
      </w:r>
      <w:sdt>
        <w:sdtPr>
          <w:rPr>
            <w:rFonts w:hint="eastAsia" w:ascii="微软雅黑" w:hAnsi="微软雅黑" w:eastAsia="微软雅黑"/>
            <w:b/>
            <w:sz w:val="21"/>
            <w:lang w:val="en-US" w:eastAsia="zh-CN"/>
          </w:rPr>
          <w:id w:val="147471245"/>
          <w:placeholder>
            <w:docPart w:val="{8417e902-29cc-48ab-b3be-776750d9bb1a}"/>
          </w:placeholder>
          <w:showingPlcHdr/>
        </w:sdtPr>
        <w:sdtEndPr>
          <w:rPr>
            <w:rFonts w:hint="eastAsia" w:ascii="微软雅黑" w:hAnsi="微软雅黑" w:eastAsia="微软雅黑" w:cs="微软雅黑"/>
            <w:b/>
            <w:color w:val="auto"/>
            <w:kern w:val="2"/>
            <w:sz w:val="21"/>
            <w:szCs w:val="21"/>
            <w:lang w:val="en-US" w:eastAsia="zh-CN" w:bidi="ar-SA"/>
          </w:rPr>
        </w:sdtEndPr>
        <w:sdtContent>
          <w:r>
            <w:rPr>
              <w:color w:val="808080"/>
            </w:rPr>
            <w:t>单击此处输入文字。</w:t>
          </w:r>
        </w:sdtContent>
      </w:sdt>
    </w:p>
    <w:p w14:paraId="4A5999C7">
      <w:pPr>
        <w:spacing w:before="157" w:after="157" w:afterLines="50" w:line="360" w:lineRule="auto"/>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br w:type="page"/>
      </w:r>
    </w:p>
    <w:p w14:paraId="6F0EE638">
      <w:pPr>
        <w:keepNext w:val="0"/>
        <w:keepLines w:val="0"/>
        <w:pageBreakBefore w:val="0"/>
        <w:kinsoku/>
        <w:wordWrap/>
        <w:overflowPunct/>
        <w:topLinePunct w:val="0"/>
        <w:bidi w:val="0"/>
        <w:snapToGrid/>
        <w:spacing w:before="157" w:beforeLines="50" w:after="157" w:afterLines="50" w:line="360" w:lineRule="auto"/>
        <w:ind w:firstLine="360" w:firstLineChars="20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乙方作为国际银行卡支付及海外本地支付网络的集成服务商，为甲方提供支付网络服务及相关服务。甲方作为本协议下所定义商户，同意在其业务中使用乙方所提供的支付网络服务。甲乙双方经友好协商，在平等互利的基础上，依照</w:t>
      </w:r>
      <w:r>
        <w:rPr>
          <w:rFonts w:hint="eastAsia" w:ascii="微软雅黑" w:hAnsi="微软雅黑" w:cs="微软雅黑"/>
          <w:color w:val="auto"/>
          <w:sz w:val="18"/>
          <w:szCs w:val="18"/>
          <w:lang w:val="en-US" w:eastAsia="zh-CN"/>
        </w:rPr>
        <w:t>香港《打击洗钱及恐怖分子资金筹集条例》及其他相</w:t>
      </w:r>
      <w:r>
        <w:rPr>
          <w:rFonts w:hint="eastAsia" w:ascii="微软雅黑" w:hAnsi="微软雅黑" w:eastAsia="微软雅黑" w:cs="微软雅黑"/>
          <w:color w:val="auto"/>
          <w:sz w:val="18"/>
          <w:szCs w:val="18"/>
        </w:rPr>
        <w:t>关法律法规的规定，就双方的国际银行卡收单及海外本地化支付网络服务达成如下约定：</w:t>
      </w:r>
    </w:p>
    <w:p w14:paraId="11754DD0">
      <w:pPr>
        <w:pStyle w:val="2"/>
        <w:numPr>
          <w:ilvl w:val="0"/>
          <w:numId w:val="2"/>
        </w:numPr>
        <w:tabs>
          <w:tab w:val="clear" w:pos="850"/>
        </w:tabs>
        <w:bidi w:val="0"/>
        <w:spacing w:line="360" w:lineRule="auto"/>
        <w:ind w:left="425" w:leftChars="0" w:hanging="425" w:firstLineChars="0"/>
        <w:jc w:val="both"/>
        <w:rPr>
          <w:rFonts w:hint="eastAsia" w:ascii="微软雅黑" w:hAnsi="微软雅黑"/>
          <w:color w:val="auto"/>
          <w:sz w:val="18"/>
          <w:szCs w:val="18"/>
        </w:rPr>
      </w:pPr>
      <w:r>
        <w:rPr>
          <w:rFonts w:hint="eastAsia" w:ascii="微软雅黑" w:hAnsi="微软雅黑"/>
          <w:color w:val="auto"/>
          <w:sz w:val="18"/>
          <w:szCs w:val="18"/>
        </w:rPr>
        <w:t>定义及说明</w:t>
      </w:r>
    </w:p>
    <w:p w14:paraId="39C45430">
      <w:pPr>
        <w:pStyle w:val="18"/>
        <w:keepNext w:val="0"/>
        <w:keepLines w:val="0"/>
        <w:pageBreakBefore w:val="0"/>
        <w:widowControl w:val="0"/>
        <w:numPr>
          <w:ilvl w:val="1"/>
          <w:numId w:val="3"/>
        </w:numPr>
        <w:kinsoku/>
        <w:wordWrap/>
        <w:overflowPunct/>
        <w:topLinePunct w:val="0"/>
        <w:autoSpaceDE/>
        <w:autoSpaceDN/>
        <w:bidi w:val="0"/>
        <w:adjustRightInd w:val="0"/>
        <w:snapToGrid/>
        <w:spacing w:before="157" w:beforeLines="50" w:after="157" w:afterLines="50" w:line="360" w:lineRule="auto"/>
        <w:ind w:left="850" w:leftChars="0" w:right="105" w:rightChars="50" w:hanging="453" w:firstLineChars="0"/>
        <w:jc w:val="both"/>
        <w:textAlignment w:val="auto"/>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国际卡组织：包括但不限于</w:t>
      </w:r>
      <w:r>
        <w:rPr>
          <w:rFonts w:hint="eastAsia" w:ascii="微软雅黑" w:hAnsi="微软雅黑" w:cs="微软雅黑"/>
          <w:color w:val="auto"/>
          <w:sz w:val="18"/>
          <w:szCs w:val="18"/>
          <w:lang w:eastAsia="zh-CN"/>
        </w:rPr>
        <w:t>VISA</w:t>
      </w:r>
      <w:r>
        <w:rPr>
          <w:rFonts w:hint="eastAsia" w:ascii="微软雅黑" w:hAnsi="微软雅黑" w:eastAsia="微软雅黑" w:cs="微软雅黑"/>
          <w:color w:val="auto"/>
          <w:sz w:val="18"/>
          <w:szCs w:val="18"/>
        </w:rPr>
        <w:t>、</w:t>
      </w:r>
      <w:r>
        <w:rPr>
          <w:rFonts w:hint="eastAsia" w:ascii="微软雅黑" w:hAnsi="微软雅黑" w:cs="微软雅黑"/>
          <w:color w:val="auto"/>
          <w:sz w:val="18"/>
          <w:szCs w:val="18"/>
          <w:lang w:eastAsia="zh-CN"/>
        </w:rPr>
        <w:t>MasterCard</w:t>
      </w:r>
      <w:r>
        <w:rPr>
          <w:rFonts w:hint="eastAsia" w:ascii="微软雅黑" w:hAnsi="微软雅黑" w:eastAsia="微软雅黑" w:cs="微软雅黑"/>
          <w:color w:val="auto"/>
          <w:sz w:val="18"/>
          <w:szCs w:val="18"/>
        </w:rPr>
        <w:t>、American Express、Din</w:t>
      </w:r>
      <w:r>
        <w:rPr>
          <w:rFonts w:hint="eastAsia" w:ascii="微软雅黑" w:hAnsi="微软雅黑" w:cs="微软雅黑"/>
          <w:color w:val="auto"/>
          <w:sz w:val="18"/>
          <w:szCs w:val="18"/>
          <w:lang w:val="en-US" w:eastAsia="zh-CN"/>
        </w:rPr>
        <w:t>ers Club&amp;</w:t>
      </w:r>
      <w:r>
        <w:rPr>
          <w:rFonts w:hint="eastAsia" w:ascii="微软雅黑" w:hAnsi="微软雅黑" w:eastAsia="微软雅黑" w:cs="微软雅黑"/>
          <w:color w:val="auto"/>
          <w:sz w:val="18"/>
          <w:szCs w:val="18"/>
        </w:rPr>
        <w:t>Discover和JCB等卡组织。</w:t>
      </w:r>
    </w:p>
    <w:p w14:paraId="696A3558">
      <w:pPr>
        <w:pStyle w:val="18"/>
        <w:keepNext w:val="0"/>
        <w:keepLines w:val="0"/>
        <w:pageBreakBefore w:val="0"/>
        <w:widowControl w:val="0"/>
        <w:numPr>
          <w:ilvl w:val="1"/>
          <w:numId w:val="3"/>
        </w:numPr>
        <w:kinsoku/>
        <w:wordWrap/>
        <w:overflowPunct/>
        <w:topLinePunct w:val="0"/>
        <w:autoSpaceDE/>
        <w:autoSpaceDN/>
        <w:bidi w:val="0"/>
        <w:adjustRightInd w:val="0"/>
        <w:snapToGrid/>
        <w:spacing w:before="157" w:beforeLines="50" w:after="157" w:afterLines="50" w:line="360" w:lineRule="auto"/>
        <w:ind w:left="850" w:leftChars="0" w:right="105" w:rightChars="50" w:hanging="453" w:firstLineChars="0"/>
        <w:jc w:val="both"/>
        <w:textAlignment w:val="auto"/>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全球本地支付：是一种符合当地人支付习惯的本地支付方式，包括但不限于本地化电子钱包、本地化银行转账及其他本地化支付方式等。在本协议中，特定地区、特定平台本身不支持本地支付的情况例外。</w:t>
      </w:r>
      <w:r>
        <w:rPr>
          <w:rFonts w:hint="eastAsia" w:ascii="微软雅黑" w:hAnsi="微软雅黑" w:eastAsia="微软雅黑" w:cs="微软雅黑"/>
          <w:color w:val="auto"/>
          <w:sz w:val="18"/>
          <w:szCs w:val="18"/>
          <w:lang w:val="en-US" w:eastAsia="zh-CN"/>
        </w:rPr>
        <w:tab/>
      </w:r>
    </w:p>
    <w:p w14:paraId="51D4C814">
      <w:pPr>
        <w:pStyle w:val="18"/>
        <w:keepNext w:val="0"/>
        <w:keepLines w:val="0"/>
        <w:pageBreakBefore w:val="0"/>
        <w:widowControl w:val="0"/>
        <w:numPr>
          <w:ilvl w:val="1"/>
          <w:numId w:val="3"/>
        </w:numPr>
        <w:kinsoku/>
        <w:wordWrap/>
        <w:overflowPunct/>
        <w:topLinePunct w:val="0"/>
        <w:autoSpaceDE/>
        <w:autoSpaceDN/>
        <w:bidi w:val="0"/>
        <w:adjustRightInd w:val="0"/>
        <w:snapToGrid/>
        <w:spacing w:before="157" w:beforeLines="50" w:after="157" w:afterLines="50" w:line="360" w:lineRule="auto"/>
        <w:ind w:left="850" w:leftChars="0" w:right="105" w:rightChars="50" w:hanging="453" w:firstLineChars="0"/>
        <w:jc w:val="both"/>
        <w:textAlignment w:val="auto"/>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商户：在乙方支付网络中注册且由甲方实际控制其交易并直接向客户提供商品或服务的企业或其他组织。</w:t>
      </w:r>
    </w:p>
    <w:p w14:paraId="524A3C73">
      <w:pPr>
        <w:pStyle w:val="18"/>
        <w:keepNext w:val="0"/>
        <w:keepLines w:val="0"/>
        <w:pageBreakBefore w:val="0"/>
        <w:widowControl w:val="0"/>
        <w:numPr>
          <w:ilvl w:val="1"/>
          <w:numId w:val="3"/>
        </w:numPr>
        <w:kinsoku/>
        <w:wordWrap/>
        <w:overflowPunct/>
        <w:topLinePunct w:val="0"/>
        <w:autoSpaceDE/>
        <w:autoSpaceDN/>
        <w:bidi w:val="0"/>
        <w:adjustRightInd w:val="0"/>
        <w:snapToGrid/>
        <w:spacing w:before="157" w:beforeLines="50" w:after="157" w:afterLines="50" w:line="360" w:lineRule="auto"/>
        <w:ind w:left="850" w:leftChars="0" w:right="105" w:rightChars="50" w:hanging="453" w:firstLineChars="0"/>
        <w:jc w:val="both"/>
        <w:textAlignment w:val="auto"/>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异常交易：甲方或甲方客户在使用本协议项下乙方提供的支付网络服务时，违反经营或服务所在地的法律法规或本协议约定的禁止行为，包括但不限于洗钱、诈骗、涉黄、涉赌、涉毒、传销、盗卡、伪卡、信用卡套现、无真实交易背景或与真实交易背景不相符的资金往来行为，以及持卡人否认交易或发卡行拒付资金的支付交易行为；同时还包括甲方、甲方客户、相关部门或单位以及其他第三方向乙方反映可能存有上述情形的行为，或甲方遭客户投诉对乙方造成不利影响或资金损失，或被相关监管政府部门和国际卡组织、收单银行等调查、罚款的交易行为。</w:t>
      </w:r>
    </w:p>
    <w:p w14:paraId="471622D6">
      <w:pPr>
        <w:pStyle w:val="18"/>
        <w:keepNext w:val="0"/>
        <w:keepLines w:val="0"/>
        <w:pageBreakBefore w:val="0"/>
        <w:widowControl w:val="0"/>
        <w:numPr>
          <w:ilvl w:val="1"/>
          <w:numId w:val="3"/>
        </w:numPr>
        <w:kinsoku/>
        <w:wordWrap/>
        <w:overflowPunct/>
        <w:topLinePunct w:val="0"/>
        <w:autoSpaceDE/>
        <w:autoSpaceDN/>
        <w:bidi w:val="0"/>
        <w:adjustRightInd w:val="0"/>
        <w:snapToGrid/>
        <w:spacing w:before="157" w:beforeLines="50" w:after="157" w:afterLines="50" w:line="360" w:lineRule="auto"/>
        <w:ind w:left="850" w:leftChars="0" w:right="105" w:rightChars="50" w:hanging="453" w:firstLineChars="0"/>
        <w:jc w:val="both"/>
        <w:textAlignment w:val="auto"/>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拒付：一般在交易完成后的180天内，持卡人随时可以向发卡行提出异议并拒绝支付银行卡账单（Chargeback，简称CB）。由于卡组织、收单机构处理拒付需要一定周期，且发卡行倾向于保护持卡人利益，或者是某些特殊品类或行业，服务周期较长，因此存在超过</w:t>
      </w:r>
      <w:r>
        <w:rPr>
          <w:rFonts w:hint="eastAsia" w:ascii="微软雅黑" w:hAnsi="微软雅黑" w:cs="微软雅黑"/>
          <w:color w:val="auto"/>
          <w:sz w:val="18"/>
          <w:szCs w:val="18"/>
          <w:lang w:val="en-US" w:eastAsia="zh-CN"/>
        </w:rPr>
        <w:t>180</w:t>
      </w:r>
      <w:r>
        <w:rPr>
          <w:rFonts w:hint="eastAsia" w:ascii="微软雅黑" w:hAnsi="微软雅黑" w:eastAsia="微软雅黑" w:cs="微软雅黑"/>
          <w:color w:val="auto"/>
          <w:sz w:val="18"/>
          <w:szCs w:val="18"/>
        </w:rPr>
        <w:t>天的拒付。</w:t>
      </w:r>
    </w:p>
    <w:p w14:paraId="63FA2360">
      <w:pPr>
        <w:pStyle w:val="18"/>
        <w:keepNext w:val="0"/>
        <w:keepLines w:val="0"/>
        <w:pageBreakBefore w:val="0"/>
        <w:widowControl w:val="0"/>
        <w:numPr>
          <w:ilvl w:val="1"/>
          <w:numId w:val="3"/>
        </w:numPr>
        <w:kinsoku/>
        <w:wordWrap/>
        <w:overflowPunct/>
        <w:topLinePunct w:val="0"/>
        <w:autoSpaceDE/>
        <w:autoSpaceDN/>
        <w:bidi w:val="0"/>
        <w:adjustRightInd w:val="0"/>
        <w:snapToGrid/>
        <w:spacing w:before="157" w:beforeLines="50" w:after="157" w:afterLines="50" w:line="360" w:lineRule="auto"/>
        <w:ind w:left="850" w:leftChars="0" w:right="105" w:rightChars="50" w:hanging="453" w:firstLineChars="0"/>
        <w:jc w:val="both"/>
        <w:textAlignment w:val="auto"/>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拒付率：对于发生拒付当月仍有新增交易的，拒付率=当月拒付笔数/拒付当月交易总笔数；对于发生拒付当月没有新增交易的，如停止交易的前</w:t>
      </w:r>
      <w:r>
        <w:rPr>
          <w:rFonts w:hint="eastAsia" w:ascii="微软雅黑" w:hAnsi="微软雅黑" w:cs="微软雅黑"/>
          <w:color w:val="auto"/>
          <w:sz w:val="18"/>
          <w:szCs w:val="18"/>
          <w:lang w:val="en-US" w:eastAsia="zh-CN"/>
        </w:rPr>
        <w:t>两</w:t>
      </w:r>
      <w:r>
        <w:rPr>
          <w:rFonts w:hint="eastAsia" w:ascii="微软雅黑" w:hAnsi="微软雅黑" w:eastAsia="微软雅黑" w:cs="微软雅黑"/>
          <w:color w:val="auto"/>
          <w:sz w:val="18"/>
          <w:szCs w:val="18"/>
        </w:rPr>
        <w:t>个月拒付均超标，后续所有来的拒付均适用拒付率超标，并均按照交易停止月的拒付率对应的罚款标准计算拒付</w:t>
      </w:r>
      <w:r>
        <w:rPr>
          <w:rFonts w:hint="eastAsia" w:ascii="微软雅黑" w:hAnsi="微软雅黑" w:cs="微软雅黑"/>
          <w:color w:val="auto"/>
          <w:sz w:val="18"/>
          <w:szCs w:val="18"/>
          <w:lang w:eastAsia="zh-CN"/>
        </w:rPr>
        <w:t>罚款</w:t>
      </w:r>
      <w:r>
        <w:rPr>
          <w:rFonts w:hint="eastAsia" w:ascii="微软雅黑" w:hAnsi="微软雅黑" w:eastAsia="微软雅黑" w:cs="微软雅黑"/>
          <w:color w:val="auto"/>
          <w:sz w:val="18"/>
          <w:szCs w:val="18"/>
        </w:rPr>
        <w:t>。</w:t>
      </w:r>
    </w:p>
    <w:p w14:paraId="5ED202B6">
      <w:pPr>
        <w:pStyle w:val="18"/>
        <w:keepNext w:val="0"/>
        <w:keepLines w:val="0"/>
        <w:pageBreakBefore w:val="0"/>
        <w:widowControl w:val="0"/>
        <w:numPr>
          <w:ilvl w:val="1"/>
          <w:numId w:val="3"/>
        </w:numPr>
        <w:kinsoku/>
        <w:wordWrap/>
        <w:overflowPunct/>
        <w:topLinePunct w:val="0"/>
        <w:autoSpaceDE/>
        <w:autoSpaceDN/>
        <w:bidi w:val="0"/>
        <w:adjustRightInd w:val="0"/>
        <w:snapToGrid/>
        <w:spacing w:before="157" w:beforeLines="50" w:after="157" w:afterLines="50" w:line="360" w:lineRule="auto"/>
        <w:ind w:left="850" w:leftChars="0" w:right="105" w:rightChars="50" w:hanging="453" w:firstLineChars="0"/>
        <w:jc w:val="both"/>
        <w:textAlignment w:val="auto"/>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欺诈率：对于发生欺诈拒付当月</w:t>
      </w:r>
      <w:r>
        <w:rPr>
          <w:rFonts w:hint="eastAsia" w:ascii="微软雅黑" w:hAnsi="微软雅黑" w:cs="微软雅黑"/>
          <w:color w:val="auto"/>
          <w:sz w:val="18"/>
          <w:szCs w:val="18"/>
          <w:lang w:val="en-US" w:eastAsia="zh-CN"/>
        </w:rPr>
        <w:t>该商户</w:t>
      </w:r>
      <w:r>
        <w:rPr>
          <w:rFonts w:hint="eastAsia" w:ascii="微软雅黑" w:hAnsi="微软雅黑" w:eastAsia="微软雅黑" w:cs="微软雅黑"/>
          <w:color w:val="auto"/>
          <w:sz w:val="18"/>
          <w:szCs w:val="18"/>
          <w:lang w:val="en-US" w:eastAsia="zh-CN"/>
        </w:rPr>
        <w:t>仍</w:t>
      </w:r>
      <w:r>
        <w:rPr>
          <w:rFonts w:hint="eastAsia" w:ascii="微软雅黑" w:hAnsi="微软雅黑" w:eastAsia="微软雅黑" w:cs="微软雅黑"/>
          <w:color w:val="auto"/>
          <w:sz w:val="18"/>
          <w:szCs w:val="18"/>
        </w:rPr>
        <w:t>有新增交易的，欺诈率=当月欺诈拒付金额/拒付当月交易总金额；对于发生欺诈拒付当月</w:t>
      </w:r>
      <w:r>
        <w:rPr>
          <w:rFonts w:hint="eastAsia" w:ascii="微软雅黑" w:hAnsi="微软雅黑" w:cs="微软雅黑"/>
          <w:color w:val="auto"/>
          <w:sz w:val="18"/>
          <w:szCs w:val="18"/>
          <w:lang w:val="en-US" w:eastAsia="zh-CN"/>
        </w:rPr>
        <w:t>该商户</w:t>
      </w:r>
      <w:r>
        <w:rPr>
          <w:rFonts w:hint="eastAsia" w:ascii="微软雅黑" w:hAnsi="微软雅黑" w:eastAsia="微软雅黑" w:cs="微软雅黑"/>
          <w:color w:val="auto"/>
          <w:sz w:val="18"/>
          <w:szCs w:val="18"/>
        </w:rPr>
        <w:t>没有新增交易的，如停止交易前</w:t>
      </w:r>
      <w:r>
        <w:rPr>
          <w:rFonts w:hint="eastAsia" w:ascii="微软雅黑" w:hAnsi="微软雅黑" w:cs="微软雅黑"/>
          <w:color w:val="auto"/>
          <w:sz w:val="18"/>
          <w:szCs w:val="18"/>
          <w:lang w:val="en-US" w:eastAsia="zh-CN"/>
        </w:rPr>
        <w:t>两</w:t>
      </w:r>
      <w:r>
        <w:rPr>
          <w:rFonts w:hint="eastAsia" w:ascii="微软雅黑" w:hAnsi="微软雅黑" w:eastAsia="微软雅黑" w:cs="微软雅黑"/>
          <w:color w:val="auto"/>
          <w:sz w:val="18"/>
          <w:szCs w:val="18"/>
        </w:rPr>
        <w:t>个月欺诈拒付率均超标，后续所有来的欺诈拒付均适用欺诈率超标。</w:t>
      </w:r>
    </w:p>
    <w:p w14:paraId="7F27DB9E">
      <w:pPr>
        <w:pStyle w:val="18"/>
        <w:keepNext w:val="0"/>
        <w:keepLines w:val="0"/>
        <w:pageBreakBefore w:val="0"/>
        <w:widowControl w:val="0"/>
        <w:numPr>
          <w:ilvl w:val="1"/>
          <w:numId w:val="3"/>
        </w:numPr>
        <w:kinsoku/>
        <w:wordWrap/>
        <w:overflowPunct/>
        <w:topLinePunct w:val="0"/>
        <w:autoSpaceDE/>
        <w:autoSpaceDN/>
        <w:bidi w:val="0"/>
        <w:adjustRightInd w:val="0"/>
        <w:snapToGrid/>
        <w:spacing w:before="157" w:beforeLines="50" w:after="157" w:afterLines="50" w:line="360" w:lineRule="auto"/>
        <w:ind w:left="850" w:leftChars="0" w:right="105" w:rightChars="50" w:hanging="453" w:firstLineChars="0"/>
        <w:jc w:val="both"/>
        <w:textAlignment w:val="auto"/>
        <w:rPr>
          <w:rFonts w:hint="eastAsia" w:ascii="微软雅黑" w:hAnsi="微软雅黑" w:eastAsia="微软雅黑" w:cs="微软雅黑"/>
          <w:color w:val="auto"/>
          <w:sz w:val="18"/>
          <w:szCs w:val="18"/>
        </w:rPr>
      </w:pPr>
      <w:r>
        <w:rPr>
          <w:rFonts w:hint="eastAsia" w:ascii="微软雅黑" w:hAnsi="微软雅黑" w:cs="微软雅黑"/>
          <w:color w:val="auto"/>
          <w:sz w:val="18"/>
          <w:szCs w:val="18"/>
        </w:rPr>
        <w:t>下挂：指签约商户以其向乙方申</w:t>
      </w:r>
      <w:r>
        <w:rPr>
          <w:rFonts w:hint="eastAsia" w:ascii="微软雅黑" w:hAnsi="微软雅黑" w:cs="微软雅黑"/>
          <w:color w:val="auto"/>
          <w:sz w:val="18"/>
          <w:szCs w:val="18"/>
          <w:lang w:val="en-US" w:eastAsia="zh-CN"/>
        </w:rPr>
        <w:t>请</w:t>
      </w:r>
      <w:r>
        <w:rPr>
          <w:rFonts w:hint="eastAsia" w:ascii="微软雅黑" w:hAnsi="微软雅黑" w:cs="微软雅黑"/>
          <w:color w:val="auto"/>
          <w:sz w:val="18"/>
          <w:szCs w:val="18"/>
          <w:lang w:eastAsia="zh-CN"/>
        </w:rPr>
        <w:t>、</w:t>
      </w:r>
      <w:r>
        <w:rPr>
          <w:rFonts w:hint="eastAsia" w:ascii="微软雅黑" w:hAnsi="微软雅黑" w:cs="微软雅黑"/>
          <w:color w:val="auto"/>
          <w:sz w:val="18"/>
          <w:szCs w:val="18"/>
          <w:lang w:val="en-US" w:eastAsia="zh-CN"/>
        </w:rPr>
        <w:t>报备</w:t>
      </w:r>
      <w:r>
        <w:rPr>
          <w:rFonts w:hint="eastAsia" w:ascii="微软雅黑" w:hAnsi="微软雅黑" w:cs="微软雅黑"/>
          <w:color w:val="auto"/>
          <w:sz w:val="18"/>
          <w:szCs w:val="18"/>
        </w:rPr>
        <w:t>的网站和经营品类接入乙方支付方式后，通过互联网技术手段将乙方的支付接口给其他未向乙方报备的网站及售卖产品使用，从而达到售卖违禁品</w:t>
      </w:r>
      <w:r>
        <w:rPr>
          <w:rFonts w:hint="eastAsia" w:ascii="微软雅黑" w:hAnsi="微软雅黑" w:cs="微软雅黑"/>
          <w:color w:val="auto"/>
          <w:sz w:val="18"/>
          <w:szCs w:val="18"/>
          <w:lang w:val="en-US" w:eastAsia="zh-CN"/>
        </w:rPr>
        <w:t>目的</w:t>
      </w:r>
      <w:r>
        <w:rPr>
          <w:rFonts w:hint="eastAsia" w:ascii="微软雅黑" w:hAnsi="微软雅黑" w:cs="微软雅黑"/>
          <w:color w:val="auto"/>
          <w:sz w:val="18"/>
          <w:szCs w:val="18"/>
        </w:rPr>
        <w:t>或</w:t>
      </w:r>
      <w:r>
        <w:rPr>
          <w:rFonts w:hint="eastAsia" w:ascii="微软雅黑" w:hAnsi="微软雅黑" w:cs="微软雅黑"/>
          <w:color w:val="auto"/>
          <w:sz w:val="18"/>
          <w:szCs w:val="18"/>
          <w:lang w:val="en-US" w:eastAsia="zh-CN"/>
        </w:rPr>
        <w:t>使得未申请、报备</w:t>
      </w:r>
      <w:r>
        <w:rPr>
          <w:rFonts w:hint="eastAsia" w:ascii="微软雅黑" w:hAnsi="微软雅黑" w:cs="微软雅黑"/>
          <w:color w:val="auto"/>
          <w:sz w:val="18"/>
          <w:szCs w:val="18"/>
        </w:rPr>
        <w:t>的网站有能力完成在线支付的行为。实际表现形式可能是申报了A网站，实际支付时跳转到其他未在乙方申报的B网站上完成支付，或是未在乙方申报的B网站交易支付时跳转到甲方</w:t>
      </w:r>
      <w:r>
        <w:rPr>
          <w:rFonts w:hint="eastAsia" w:ascii="微软雅黑" w:hAnsi="微软雅黑" w:cs="微软雅黑"/>
          <w:color w:val="auto"/>
          <w:sz w:val="18"/>
          <w:szCs w:val="18"/>
          <w:lang w:val="en-US" w:eastAsia="zh-CN"/>
        </w:rPr>
        <w:t>向乙方</w:t>
      </w:r>
      <w:r>
        <w:rPr>
          <w:rFonts w:hint="eastAsia" w:ascii="微软雅黑" w:hAnsi="微软雅黑" w:cs="微软雅黑"/>
          <w:color w:val="auto"/>
          <w:sz w:val="18"/>
          <w:szCs w:val="18"/>
        </w:rPr>
        <w:t>申报的A网站。下挂行为会被卡组织及相关监管机构视为洗钱行为，即以看似合法的经营掩盖非法的经营。</w:t>
      </w:r>
    </w:p>
    <w:p w14:paraId="2C349CFE">
      <w:pPr>
        <w:pStyle w:val="18"/>
        <w:keepNext w:val="0"/>
        <w:keepLines w:val="0"/>
        <w:pageBreakBefore w:val="0"/>
        <w:widowControl w:val="0"/>
        <w:numPr>
          <w:ilvl w:val="1"/>
          <w:numId w:val="3"/>
        </w:numPr>
        <w:kinsoku/>
        <w:wordWrap/>
        <w:overflowPunct/>
        <w:topLinePunct w:val="0"/>
        <w:autoSpaceDE/>
        <w:autoSpaceDN/>
        <w:bidi w:val="0"/>
        <w:adjustRightInd w:val="0"/>
        <w:snapToGrid/>
        <w:spacing w:before="157" w:beforeLines="50" w:after="157" w:afterLines="50" w:line="360" w:lineRule="auto"/>
        <w:ind w:left="850" w:leftChars="0" w:right="105" w:rightChars="50" w:hanging="453" w:firstLineChars="0"/>
        <w:jc w:val="both"/>
        <w:textAlignment w:val="auto"/>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BRAM:（全称Business Risk Assessment and Mitigation）业务风险评估及缓解。业务风险评估及缓解计划于2005年7月由</w:t>
      </w:r>
      <w:r>
        <w:rPr>
          <w:rFonts w:hint="eastAsia" w:ascii="微软雅黑" w:hAnsi="微软雅黑" w:cs="微软雅黑"/>
          <w:color w:val="auto"/>
          <w:sz w:val="18"/>
          <w:szCs w:val="18"/>
          <w:lang w:eastAsia="zh-CN"/>
        </w:rPr>
        <w:t>MasterCard</w:t>
      </w:r>
      <w:r>
        <w:rPr>
          <w:rFonts w:hint="eastAsia" w:ascii="微软雅黑" w:hAnsi="微软雅黑" w:eastAsia="微软雅黑" w:cs="微软雅黑"/>
          <w:color w:val="auto"/>
          <w:sz w:val="18"/>
          <w:szCs w:val="18"/>
        </w:rPr>
        <w:t>主动发起，目的在于保护</w:t>
      </w:r>
      <w:r>
        <w:rPr>
          <w:rFonts w:hint="eastAsia" w:ascii="微软雅黑" w:hAnsi="微软雅黑" w:cs="微软雅黑"/>
          <w:color w:val="auto"/>
          <w:sz w:val="18"/>
          <w:szCs w:val="18"/>
          <w:lang w:eastAsia="zh-CN"/>
        </w:rPr>
        <w:t>MasterCard</w:t>
      </w:r>
      <w:r>
        <w:rPr>
          <w:rFonts w:hint="eastAsia" w:ascii="微软雅黑" w:hAnsi="微软雅黑" w:eastAsia="微软雅黑" w:cs="微软雅黑"/>
          <w:color w:val="auto"/>
          <w:sz w:val="18"/>
          <w:szCs w:val="18"/>
        </w:rPr>
        <w:t>及其用户远离非法交易及品牌侵权行为。</w:t>
      </w:r>
    </w:p>
    <w:p w14:paraId="58619A0D">
      <w:pPr>
        <w:pStyle w:val="18"/>
        <w:keepNext w:val="0"/>
        <w:keepLines w:val="0"/>
        <w:pageBreakBefore w:val="0"/>
        <w:widowControl w:val="0"/>
        <w:numPr>
          <w:ilvl w:val="1"/>
          <w:numId w:val="3"/>
        </w:numPr>
        <w:kinsoku/>
        <w:wordWrap/>
        <w:overflowPunct/>
        <w:topLinePunct w:val="0"/>
        <w:autoSpaceDE/>
        <w:autoSpaceDN/>
        <w:bidi w:val="0"/>
        <w:adjustRightInd w:val="0"/>
        <w:snapToGrid/>
        <w:spacing w:before="157" w:beforeLines="50" w:after="157" w:afterLines="50" w:line="360" w:lineRule="auto"/>
        <w:ind w:left="850" w:leftChars="0" w:right="105" w:rightChars="50" w:hanging="453" w:firstLineChars="0"/>
        <w:jc w:val="both"/>
        <w:textAlignment w:val="auto"/>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GBPP:（全称Global Brand Protection Program）全球品牌保护计划。全球品牌保护计划旨在确保收单行对其合作商户的收单活动进行适当的控制。目标是为了保护收单行和</w:t>
      </w:r>
      <w:r>
        <w:rPr>
          <w:rFonts w:hint="eastAsia" w:ascii="微软雅黑" w:hAnsi="微软雅黑" w:cs="微软雅黑"/>
          <w:color w:val="auto"/>
          <w:sz w:val="18"/>
          <w:szCs w:val="18"/>
          <w:lang w:eastAsia="zh-CN"/>
        </w:rPr>
        <w:t>VISA</w:t>
      </w:r>
      <w:r>
        <w:rPr>
          <w:rFonts w:hint="eastAsia" w:ascii="微软雅黑" w:hAnsi="微软雅黑" w:eastAsia="微软雅黑" w:cs="微软雅黑"/>
          <w:color w:val="auto"/>
          <w:sz w:val="18"/>
          <w:szCs w:val="18"/>
        </w:rPr>
        <w:t>支付系统的完整性，并防止商户进行一系列的品牌侵权、销售违禁品等违规交易。</w:t>
      </w:r>
    </w:p>
    <w:p w14:paraId="3864978C">
      <w:pPr>
        <w:pStyle w:val="18"/>
        <w:keepNext w:val="0"/>
        <w:keepLines w:val="0"/>
        <w:pageBreakBefore w:val="0"/>
        <w:widowControl w:val="0"/>
        <w:numPr>
          <w:ilvl w:val="1"/>
          <w:numId w:val="3"/>
        </w:numPr>
        <w:kinsoku/>
        <w:wordWrap/>
        <w:overflowPunct/>
        <w:topLinePunct w:val="0"/>
        <w:autoSpaceDE/>
        <w:autoSpaceDN/>
        <w:bidi w:val="0"/>
        <w:adjustRightInd w:val="0"/>
        <w:snapToGrid/>
        <w:spacing w:before="157" w:beforeLines="50" w:after="157" w:afterLines="50" w:line="360" w:lineRule="auto"/>
        <w:ind w:left="850" w:leftChars="0" w:right="105" w:rightChars="50" w:hanging="453" w:firstLineChars="0"/>
        <w:jc w:val="both"/>
        <w:textAlignment w:val="auto"/>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VIRP</w:t>
      </w:r>
      <w:r>
        <w:rPr>
          <w:rFonts w:hint="eastAsia" w:ascii="微软雅黑" w:hAnsi="微软雅黑" w:cs="微软雅黑"/>
          <w:color w:val="auto"/>
          <w:sz w:val="18"/>
          <w:szCs w:val="18"/>
          <w:lang w:eastAsia="zh-CN"/>
        </w:rPr>
        <w:t>：（</w:t>
      </w:r>
      <w:r>
        <w:rPr>
          <w:rFonts w:hint="eastAsia" w:ascii="微软雅黑" w:hAnsi="微软雅黑" w:cs="微软雅黑"/>
          <w:color w:val="auto"/>
          <w:sz w:val="18"/>
          <w:szCs w:val="18"/>
          <w:lang w:val="en-US" w:eastAsia="zh-CN"/>
        </w:rPr>
        <w:t>全称</w:t>
      </w:r>
      <w:r>
        <w:rPr>
          <w:rFonts w:hint="eastAsia" w:ascii="微软雅黑" w:hAnsi="微软雅黑" w:eastAsia="微软雅黑" w:cs="微软雅黑"/>
          <w:color w:val="auto"/>
          <w:sz w:val="18"/>
          <w:szCs w:val="18"/>
        </w:rPr>
        <w:t>Visa Integrity Risk Program</w:t>
      </w:r>
      <w:r>
        <w:rPr>
          <w:rFonts w:hint="eastAsia" w:ascii="微软雅黑" w:hAnsi="微软雅黑" w:cs="微软雅黑"/>
          <w:color w:val="auto"/>
          <w:sz w:val="18"/>
          <w:szCs w:val="18"/>
          <w:lang w:eastAsia="zh-CN"/>
        </w:rPr>
        <w:t>）</w:t>
      </w:r>
      <w:r>
        <w:rPr>
          <w:rFonts w:hint="eastAsia" w:ascii="微软雅黑" w:hAnsi="微软雅黑" w:eastAsia="微软雅黑" w:cs="微软雅黑"/>
          <w:color w:val="auto"/>
          <w:sz w:val="18"/>
          <w:szCs w:val="18"/>
        </w:rPr>
        <w:t>Visa诚信风险计划</w:t>
      </w:r>
      <w:r>
        <w:rPr>
          <w:rFonts w:hint="eastAsia" w:ascii="微软雅黑" w:hAnsi="微软雅黑" w:cs="微软雅黑"/>
          <w:color w:val="auto"/>
          <w:sz w:val="18"/>
          <w:szCs w:val="18"/>
          <w:lang w:eastAsia="zh-CN"/>
        </w:rPr>
        <w:t>。</w:t>
      </w:r>
      <w:r>
        <w:rPr>
          <w:rFonts w:hint="eastAsia" w:ascii="微软雅黑" w:hAnsi="微软雅黑" w:eastAsia="微软雅黑" w:cs="微软雅黑"/>
          <w:color w:val="auto"/>
          <w:sz w:val="18"/>
          <w:szCs w:val="18"/>
        </w:rPr>
        <w:t>由Visa卡组织发布的监控收单机构、商户、电商平台、支付服务商等机构的全球性计划。VIRP旨在通过确保收单机构和指定代理商保持适当的控制和监督流程，防范处理非法交易，保护Visa的支付系统免受欺诈交易的侵害。</w:t>
      </w:r>
    </w:p>
    <w:p w14:paraId="3E87BD71">
      <w:pPr>
        <w:pStyle w:val="18"/>
        <w:keepNext w:val="0"/>
        <w:keepLines w:val="0"/>
        <w:pageBreakBefore w:val="0"/>
        <w:widowControl w:val="0"/>
        <w:numPr>
          <w:ilvl w:val="1"/>
          <w:numId w:val="3"/>
        </w:numPr>
        <w:kinsoku/>
        <w:wordWrap/>
        <w:overflowPunct/>
        <w:topLinePunct w:val="0"/>
        <w:autoSpaceDE/>
        <w:autoSpaceDN/>
        <w:bidi w:val="0"/>
        <w:adjustRightInd w:val="0"/>
        <w:snapToGrid/>
        <w:spacing w:before="157" w:beforeLines="50" w:after="157" w:afterLines="50" w:line="360" w:lineRule="auto"/>
        <w:ind w:left="850" w:leftChars="0" w:right="105" w:rightChars="50" w:hanging="453" w:firstLineChars="0"/>
        <w:jc w:val="both"/>
        <w:textAlignment w:val="auto"/>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ECP:（全称Excessive Chargeback Program）超额拒付计划。超额拒付计划由</w:t>
      </w:r>
      <w:r>
        <w:rPr>
          <w:rFonts w:hint="eastAsia" w:ascii="微软雅黑" w:hAnsi="微软雅黑" w:cs="微软雅黑"/>
          <w:color w:val="auto"/>
          <w:sz w:val="18"/>
          <w:szCs w:val="18"/>
          <w:lang w:eastAsia="zh-CN"/>
        </w:rPr>
        <w:t>MasterCard</w:t>
      </w:r>
      <w:r>
        <w:rPr>
          <w:rFonts w:hint="eastAsia" w:ascii="微软雅黑" w:hAnsi="微软雅黑" w:eastAsia="微软雅黑" w:cs="微软雅黑"/>
          <w:color w:val="auto"/>
          <w:sz w:val="18"/>
          <w:szCs w:val="18"/>
        </w:rPr>
        <w:t>设计，目的在于监控收单行合作商户的拒付情况，并且在商户已经或有可能超过每月拒付标准的时候，立即采取相应措施。</w:t>
      </w:r>
    </w:p>
    <w:p w14:paraId="5094989E">
      <w:pPr>
        <w:pStyle w:val="18"/>
        <w:keepNext w:val="0"/>
        <w:keepLines w:val="0"/>
        <w:pageBreakBefore w:val="0"/>
        <w:widowControl w:val="0"/>
        <w:numPr>
          <w:ilvl w:val="1"/>
          <w:numId w:val="3"/>
        </w:numPr>
        <w:kinsoku/>
        <w:wordWrap/>
        <w:overflowPunct/>
        <w:topLinePunct w:val="0"/>
        <w:autoSpaceDE/>
        <w:autoSpaceDN/>
        <w:bidi w:val="0"/>
        <w:adjustRightInd w:val="0"/>
        <w:snapToGrid/>
        <w:spacing w:before="157" w:beforeLines="50" w:after="157" w:afterLines="50" w:line="360" w:lineRule="auto"/>
        <w:ind w:left="850" w:leftChars="0" w:right="105" w:rightChars="50" w:hanging="453" w:firstLineChars="0"/>
        <w:jc w:val="both"/>
        <w:textAlignment w:val="auto"/>
        <w:rPr>
          <w:rFonts w:hint="eastAsia" w:ascii="微软雅黑" w:hAnsi="微软雅黑" w:eastAsia="微软雅黑" w:cs="微软雅黑"/>
          <w:color w:val="auto"/>
          <w:sz w:val="18"/>
          <w:szCs w:val="18"/>
        </w:rPr>
      </w:pPr>
      <w:r>
        <w:rPr>
          <w:rFonts w:hint="eastAsia" w:ascii="微软雅黑" w:hAnsi="微软雅黑" w:cs="微软雅黑"/>
          <w:color w:val="auto"/>
          <w:sz w:val="18"/>
          <w:szCs w:val="18"/>
        </w:rPr>
        <w:t>VAMP</w:t>
      </w:r>
      <w:r>
        <w:rPr>
          <w:rFonts w:hint="eastAsia" w:ascii="微软雅黑" w:hAnsi="微软雅黑" w:cs="微软雅黑"/>
          <w:color w:val="auto"/>
          <w:sz w:val="18"/>
          <w:szCs w:val="18"/>
          <w:lang w:eastAsia="zh-CN"/>
        </w:rPr>
        <w:t>：</w:t>
      </w:r>
      <w:r>
        <w:rPr>
          <w:rFonts w:hint="eastAsia" w:ascii="微软雅黑" w:hAnsi="微软雅黑" w:cs="微软雅黑"/>
          <w:color w:val="auto"/>
          <w:sz w:val="18"/>
          <w:szCs w:val="18"/>
        </w:rPr>
        <w:t>（</w:t>
      </w:r>
      <w:r>
        <w:rPr>
          <w:rFonts w:hint="eastAsia" w:ascii="微软雅黑" w:hAnsi="微软雅黑" w:cs="微软雅黑"/>
          <w:color w:val="auto"/>
          <w:sz w:val="18"/>
          <w:szCs w:val="18"/>
          <w:lang w:val="en-US" w:eastAsia="zh-CN"/>
        </w:rPr>
        <w:t>全称</w:t>
      </w:r>
      <w:r>
        <w:rPr>
          <w:rFonts w:hint="eastAsia" w:ascii="微软雅黑" w:hAnsi="微软雅黑" w:cs="微软雅黑"/>
          <w:color w:val="auto"/>
          <w:sz w:val="18"/>
          <w:szCs w:val="18"/>
          <w:lang w:eastAsia="zh-CN"/>
        </w:rPr>
        <w:t>VISA</w:t>
      </w:r>
      <w:r>
        <w:rPr>
          <w:rFonts w:hint="eastAsia" w:ascii="微软雅黑" w:hAnsi="微软雅黑" w:cs="微软雅黑"/>
          <w:color w:val="auto"/>
          <w:sz w:val="18"/>
          <w:szCs w:val="18"/>
        </w:rPr>
        <w:t xml:space="preserve"> Acquirer Monitoring Program）收单行监控计划，由</w:t>
      </w:r>
      <w:r>
        <w:rPr>
          <w:rFonts w:hint="eastAsia" w:ascii="微软雅黑" w:hAnsi="微软雅黑" w:cs="微软雅黑"/>
          <w:color w:val="auto"/>
          <w:sz w:val="18"/>
          <w:szCs w:val="18"/>
          <w:lang w:eastAsia="zh-CN"/>
        </w:rPr>
        <w:t>VISA</w:t>
      </w:r>
      <w:r>
        <w:rPr>
          <w:rFonts w:hint="eastAsia" w:ascii="微软雅黑" w:hAnsi="微软雅黑" w:cs="微软雅黑"/>
          <w:color w:val="auto"/>
          <w:sz w:val="18"/>
          <w:szCs w:val="18"/>
        </w:rPr>
        <w:t>设计，是对收单机构所有商户的整体拒付率和欺诈率的监控项目</w:t>
      </w:r>
      <w:r>
        <w:rPr>
          <w:rFonts w:hint="eastAsia" w:ascii="微软雅黑" w:hAnsi="微软雅黑" w:cs="微软雅黑"/>
          <w:color w:val="auto"/>
          <w:sz w:val="18"/>
          <w:szCs w:val="18"/>
          <w:lang w:eastAsia="zh-CN"/>
        </w:rPr>
        <w:t>，</w:t>
      </w:r>
      <w:r>
        <w:rPr>
          <w:rFonts w:hint="eastAsia" w:ascii="微软雅黑" w:hAnsi="微软雅黑" w:cs="微软雅黑"/>
          <w:color w:val="auto"/>
          <w:sz w:val="18"/>
          <w:szCs w:val="18"/>
        </w:rPr>
        <w:t>并且在商户已经或有可能超过每月拒付和欺诈标准的时候，立即采取相应措施。</w:t>
      </w:r>
      <w:r>
        <w:rPr>
          <w:rFonts w:hint="eastAsia" w:ascii="微软雅黑" w:hAnsi="微软雅黑" w:cs="微软雅黑"/>
          <w:color w:val="auto"/>
          <w:sz w:val="18"/>
          <w:szCs w:val="18"/>
          <w:lang w:val="en-US" w:eastAsia="zh-CN"/>
        </w:rPr>
        <w:t>VAMP比率大于等于0.9%时，即视为比率过高。</w:t>
      </w:r>
    </w:p>
    <w:p w14:paraId="1339588C">
      <w:pPr>
        <w:pStyle w:val="18"/>
        <w:keepNext w:val="0"/>
        <w:keepLines w:val="0"/>
        <w:pageBreakBefore w:val="0"/>
        <w:widowControl w:val="0"/>
        <w:numPr>
          <w:ilvl w:val="1"/>
          <w:numId w:val="3"/>
        </w:numPr>
        <w:kinsoku/>
        <w:wordWrap/>
        <w:overflowPunct/>
        <w:topLinePunct w:val="0"/>
        <w:autoSpaceDE/>
        <w:autoSpaceDN/>
        <w:bidi w:val="0"/>
        <w:adjustRightInd w:val="0"/>
        <w:snapToGrid/>
        <w:spacing w:before="157" w:beforeLines="50" w:after="157" w:afterLines="50" w:line="360" w:lineRule="auto"/>
        <w:ind w:left="850" w:leftChars="0" w:right="105" w:rightChars="50" w:hanging="453" w:firstLineChars="0"/>
        <w:jc w:val="both"/>
        <w:textAlignment w:val="auto"/>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PCI DSS: 全称Payment Card Industry（PCI）Data Security Standard（DSS）。支付卡行业数据安全标准认证由</w:t>
      </w:r>
      <w:r>
        <w:rPr>
          <w:rFonts w:hint="eastAsia" w:ascii="微软雅黑" w:hAnsi="微软雅黑" w:cs="微软雅黑"/>
          <w:color w:val="auto"/>
          <w:sz w:val="18"/>
          <w:szCs w:val="18"/>
          <w:lang w:eastAsia="zh-CN"/>
        </w:rPr>
        <w:t>VISA</w:t>
      </w:r>
      <w:r>
        <w:rPr>
          <w:rFonts w:hint="eastAsia" w:ascii="微软雅黑" w:hAnsi="微软雅黑" w:eastAsia="微软雅黑" w:cs="微软雅黑"/>
          <w:color w:val="auto"/>
          <w:sz w:val="18"/>
          <w:szCs w:val="18"/>
        </w:rPr>
        <w:t>、</w:t>
      </w:r>
      <w:r>
        <w:rPr>
          <w:rFonts w:hint="eastAsia" w:ascii="微软雅黑" w:hAnsi="微软雅黑" w:cs="微软雅黑"/>
          <w:color w:val="auto"/>
          <w:sz w:val="18"/>
          <w:szCs w:val="18"/>
          <w:lang w:eastAsia="zh-CN"/>
        </w:rPr>
        <w:t>MasterCard</w:t>
      </w:r>
      <w:r>
        <w:rPr>
          <w:rFonts w:hint="eastAsia" w:ascii="微软雅黑" w:hAnsi="微软雅黑" w:eastAsia="微软雅黑" w:cs="微软雅黑"/>
          <w:color w:val="auto"/>
          <w:sz w:val="18"/>
          <w:szCs w:val="18"/>
        </w:rPr>
        <w:t>、American Express、Din</w:t>
      </w:r>
      <w:r>
        <w:rPr>
          <w:rFonts w:hint="eastAsia" w:ascii="微软雅黑" w:hAnsi="微软雅黑" w:eastAsia="微软雅黑" w:cs="微软雅黑"/>
          <w:color w:val="auto"/>
          <w:sz w:val="18"/>
          <w:szCs w:val="18"/>
          <w:lang w:val="en-US" w:eastAsia="zh-CN"/>
        </w:rPr>
        <w:t>ers Club&amp;</w:t>
      </w:r>
      <w:r>
        <w:rPr>
          <w:rFonts w:hint="eastAsia" w:ascii="微软雅黑" w:hAnsi="微软雅黑" w:eastAsia="微软雅黑" w:cs="微软雅黑"/>
          <w:color w:val="auto"/>
          <w:sz w:val="18"/>
          <w:szCs w:val="18"/>
        </w:rPr>
        <w:t>Discover、JCB五家国际卡组织联合推出，旨在规范支付交易相关的服务提供商和与其签约的大型商户，使他们遵循此标准以促进信息安全建设。PCI DSS信息安全标准有6大项目，12个小项的要求，是目前全球最严格、级别最高的金融机构安全认证标准。</w:t>
      </w:r>
    </w:p>
    <w:p w14:paraId="4F122E8F">
      <w:pPr>
        <w:pStyle w:val="18"/>
        <w:keepNext w:val="0"/>
        <w:keepLines w:val="0"/>
        <w:pageBreakBefore w:val="0"/>
        <w:widowControl w:val="0"/>
        <w:numPr>
          <w:ilvl w:val="1"/>
          <w:numId w:val="3"/>
        </w:numPr>
        <w:kinsoku/>
        <w:wordWrap/>
        <w:overflowPunct/>
        <w:topLinePunct w:val="0"/>
        <w:autoSpaceDE/>
        <w:autoSpaceDN/>
        <w:bidi w:val="0"/>
        <w:adjustRightInd w:val="0"/>
        <w:snapToGrid/>
        <w:spacing w:before="157" w:beforeLines="50" w:after="157" w:afterLines="50" w:line="360" w:lineRule="auto"/>
        <w:ind w:left="850" w:leftChars="0" w:right="105" w:rightChars="50" w:hanging="453" w:firstLineChars="0"/>
        <w:jc w:val="both"/>
        <w:textAlignment w:val="auto"/>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AML: （全称Anti-Money Laundering）反洗钱，是指为了预防通过各种方式掩饰、隐瞒毒品犯罪、黑社会性质的组织犯罪、恐怖活动犯罪、走私犯罪、贪污贿赂犯罪、破坏金融管理秩序犯罪等犯罪所得及其收益的来源和性质的洗钱活动。</w:t>
      </w:r>
    </w:p>
    <w:p w14:paraId="76B9E933">
      <w:pPr>
        <w:pStyle w:val="18"/>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360" w:firstLineChars="200"/>
        <w:jc w:val="both"/>
        <w:textAlignment w:val="auto"/>
        <w:rPr>
          <w:rStyle w:val="15"/>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以上第1.</w:t>
      </w:r>
      <w:r>
        <w:rPr>
          <w:rFonts w:hint="eastAsia" w:ascii="微软雅黑" w:hAnsi="微软雅黑" w:cs="微软雅黑"/>
          <w:color w:val="auto"/>
          <w:sz w:val="18"/>
          <w:szCs w:val="18"/>
          <w:lang w:val="en-US" w:eastAsia="zh-CN"/>
        </w:rPr>
        <w:t>9</w:t>
      </w:r>
      <w:r>
        <w:rPr>
          <w:rFonts w:hint="eastAsia" w:ascii="微软雅黑" w:hAnsi="微软雅黑" w:eastAsia="微软雅黑" w:cs="微软雅黑"/>
          <w:color w:val="auto"/>
          <w:sz w:val="18"/>
          <w:szCs w:val="18"/>
          <w:lang w:val="en-US" w:eastAsia="zh-CN"/>
        </w:rPr>
        <w:t>-1.</w:t>
      </w:r>
      <w:r>
        <w:rPr>
          <w:rFonts w:hint="eastAsia" w:ascii="微软雅黑" w:hAnsi="微软雅黑" w:cs="微软雅黑"/>
          <w:color w:val="auto"/>
          <w:sz w:val="18"/>
          <w:szCs w:val="18"/>
          <w:lang w:val="en-US" w:eastAsia="zh-CN"/>
        </w:rPr>
        <w:t>13</w:t>
      </w:r>
      <w:r>
        <w:rPr>
          <w:rFonts w:hint="eastAsia" w:ascii="微软雅黑" w:hAnsi="微软雅黑" w:eastAsia="微软雅黑" w:cs="微软雅黑"/>
          <w:color w:val="auto"/>
          <w:sz w:val="18"/>
          <w:szCs w:val="18"/>
        </w:rPr>
        <w:t>项名词解释为国际卡组织（包括但不限于</w:t>
      </w:r>
      <w:r>
        <w:rPr>
          <w:rFonts w:hint="eastAsia" w:ascii="微软雅黑" w:hAnsi="微软雅黑" w:cs="微软雅黑"/>
          <w:color w:val="auto"/>
          <w:sz w:val="18"/>
          <w:szCs w:val="18"/>
          <w:lang w:eastAsia="zh-CN"/>
        </w:rPr>
        <w:t>VISA</w:t>
      </w:r>
      <w:r>
        <w:rPr>
          <w:rFonts w:hint="eastAsia" w:ascii="微软雅黑" w:hAnsi="微软雅黑" w:eastAsia="微软雅黑" w:cs="微软雅黑"/>
          <w:color w:val="auto"/>
          <w:sz w:val="18"/>
          <w:szCs w:val="18"/>
        </w:rPr>
        <w:t>、</w:t>
      </w:r>
      <w:r>
        <w:rPr>
          <w:rFonts w:hint="eastAsia" w:ascii="微软雅黑" w:hAnsi="微软雅黑" w:cs="微软雅黑"/>
          <w:color w:val="auto"/>
          <w:sz w:val="18"/>
          <w:szCs w:val="18"/>
          <w:lang w:eastAsia="zh-CN"/>
        </w:rPr>
        <w:t>MasterCard</w:t>
      </w:r>
      <w:r>
        <w:rPr>
          <w:rFonts w:hint="eastAsia" w:ascii="微软雅黑" w:hAnsi="微软雅黑" w:eastAsia="微软雅黑" w:cs="微软雅黑"/>
          <w:color w:val="auto"/>
          <w:sz w:val="18"/>
          <w:szCs w:val="18"/>
        </w:rPr>
        <w:t>等）作出的定义及解释，</w:t>
      </w:r>
      <w:r>
        <w:rPr>
          <w:rFonts w:hint="eastAsia" w:ascii="微软雅黑" w:hAnsi="微软雅黑" w:cs="微软雅黑"/>
          <w:color w:val="auto"/>
          <w:sz w:val="18"/>
          <w:szCs w:val="18"/>
          <w:lang w:val="en-US" w:eastAsia="zh-CN"/>
        </w:rPr>
        <w:t>具体可以参考其官网公布的最新政策或内容，卡组织其他对商户的管理政策也参考其官网（www.visa.com，www.mastercard.com等）最新内容和政策</w:t>
      </w:r>
      <w:r>
        <w:rPr>
          <w:rFonts w:hint="eastAsia" w:ascii="微软雅黑" w:hAnsi="微软雅黑" w:eastAsia="微软雅黑" w:cs="微软雅黑"/>
          <w:color w:val="auto"/>
          <w:sz w:val="18"/>
          <w:szCs w:val="18"/>
        </w:rPr>
        <w:t>。</w:t>
      </w:r>
    </w:p>
    <w:p w14:paraId="63C0DE65">
      <w:pPr>
        <w:pStyle w:val="2"/>
        <w:numPr>
          <w:ilvl w:val="0"/>
          <w:numId w:val="3"/>
        </w:numPr>
        <w:tabs>
          <w:tab w:val="clear" w:pos="850"/>
        </w:tabs>
        <w:bidi w:val="0"/>
        <w:spacing w:line="360" w:lineRule="auto"/>
        <w:ind w:left="425" w:leftChars="0" w:hanging="425" w:firstLineChars="0"/>
        <w:jc w:val="both"/>
        <w:rPr>
          <w:rFonts w:hint="eastAsia" w:ascii="微软雅黑" w:hAnsi="微软雅黑"/>
          <w:color w:val="auto"/>
          <w:sz w:val="18"/>
          <w:szCs w:val="18"/>
        </w:rPr>
      </w:pPr>
      <w:r>
        <w:rPr>
          <w:rFonts w:hint="eastAsia" w:ascii="微软雅黑" w:hAnsi="微软雅黑"/>
          <w:color w:val="auto"/>
          <w:sz w:val="18"/>
          <w:szCs w:val="18"/>
        </w:rPr>
        <w:t>服务内容</w:t>
      </w:r>
    </w:p>
    <w:p w14:paraId="09506BB4">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乙方依据本协议约定及相关监管部门的规定为甲方提供国际银行卡及全球本地支付服务，并协助甲方完成系统对接。</w:t>
      </w:r>
    </w:p>
    <w:p w14:paraId="0A13C7F1">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 xml:space="preserve">甲方授权同意乙方在欧盟、英国和美国的关联公司为甲方提供代运营服务，包括对接当地的支付网络以及受理消费者的投诉、退款等售后服务，甲方无需为此支付其他费用。</w:t>
      </w:r>
    </w:p>
    <w:p w14:paraId="47080B1C">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甲方在成为乙方支付网络商户的同时，也同意成为国际卡组织，包括但不限于</w:t>
      </w:r>
      <w:r>
        <w:rPr>
          <w:rFonts w:hint="eastAsia" w:ascii="微软雅黑" w:hAnsi="微软雅黑" w:cs="微软雅黑"/>
          <w:color w:val="auto"/>
          <w:sz w:val="18"/>
          <w:szCs w:val="18"/>
          <w:lang w:eastAsia="zh-CN"/>
        </w:rPr>
        <w:t>VISA</w:t>
      </w:r>
      <w:r>
        <w:rPr>
          <w:rFonts w:hint="eastAsia" w:ascii="微软雅黑" w:hAnsi="微软雅黑" w:eastAsia="微软雅黑" w:cs="微软雅黑"/>
          <w:color w:val="auto"/>
          <w:sz w:val="18"/>
          <w:szCs w:val="18"/>
        </w:rPr>
        <w:t>、</w:t>
      </w:r>
      <w:r>
        <w:rPr>
          <w:rFonts w:hint="eastAsia" w:ascii="微软雅黑" w:hAnsi="微软雅黑" w:cs="微软雅黑"/>
          <w:color w:val="auto"/>
          <w:sz w:val="18"/>
          <w:szCs w:val="18"/>
          <w:lang w:eastAsia="zh-CN"/>
        </w:rPr>
        <w:t>MasterCard</w:t>
      </w:r>
      <w:r>
        <w:rPr>
          <w:rFonts w:hint="eastAsia" w:ascii="微软雅黑" w:hAnsi="微软雅黑" w:eastAsia="微软雅黑" w:cs="微软雅黑"/>
          <w:color w:val="auto"/>
          <w:sz w:val="18"/>
          <w:szCs w:val="18"/>
        </w:rPr>
        <w:t>等卡组织注册用户，并愿意遵守其</w:t>
      </w:r>
      <w:r>
        <w:rPr>
          <w:rFonts w:hint="eastAsia" w:ascii="微软雅黑" w:hAnsi="微软雅黑" w:cs="微软雅黑"/>
          <w:color w:val="auto"/>
          <w:sz w:val="18"/>
          <w:szCs w:val="18"/>
          <w:lang w:val="en-US" w:eastAsia="zh-CN"/>
        </w:rPr>
        <w:t>官网</w:t>
      </w:r>
      <w:r>
        <w:rPr>
          <w:rFonts w:hint="eastAsia" w:ascii="微软雅黑" w:hAnsi="微软雅黑" w:eastAsia="微软雅黑" w:cs="微软雅黑"/>
          <w:color w:val="auto"/>
          <w:sz w:val="18"/>
          <w:szCs w:val="18"/>
        </w:rPr>
        <w:t>公开的</w:t>
      </w:r>
      <w:r>
        <w:rPr>
          <w:rFonts w:hint="eastAsia" w:ascii="微软雅黑" w:hAnsi="微软雅黑" w:cs="微软雅黑"/>
          <w:color w:val="auto"/>
          <w:sz w:val="18"/>
          <w:szCs w:val="18"/>
          <w:lang w:val="en-US" w:eastAsia="zh-CN"/>
        </w:rPr>
        <w:t>商户</w:t>
      </w:r>
      <w:r>
        <w:rPr>
          <w:rFonts w:hint="eastAsia" w:ascii="微软雅黑" w:hAnsi="微软雅黑" w:eastAsia="微软雅黑" w:cs="微软雅黑"/>
          <w:color w:val="auto"/>
          <w:sz w:val="18"/>
          <w:szCs w:val="18"/>
        </w:rPr>
        <w:t>管理规则</w:t>
      </w:r>
      <w:r>
        <w:rPr>
          <w:rFonts w:hint="eastAsia" w:ascii="微软雅黑" w:hAnsi="微软雅黑" w:cs="微软雅黑"/>
          <w:color w:val="auto"/>
          <w:sz w:val="18"/>
          <w:szCs w:val="18"/>
          <w:lang w:val="en-US" w:eastAsia="zh-CN"/>
        </w:rPr>
        <w:t>及相关标准</w:t>
      </w:r>
      <w:r>
        <w:rPr>
          <w:rFonts w:hint="eastAsia" w:ascii="微软雅黑" w:hAnsi="微软雅黑" w:eastAsia="微软雅黑" w:cs="微软雅黑"/>
          <w:color w:val="auto"/>
          <w:sz w:val="18"/>
          <w:szCs w:val="18"/>
        </w:rPr>
        <w:t>。</w:t>
      </w:r>
    </w:p>
    <w:p w14:paraId="74FA2170">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本协议项下，乙方仅为具有真实交易背景的业务和企业提供</w:t>
      </w:r>
      <w:r>
        <w:rPr>
          <w:rFonts w:hint="eastAsia" w:ascii="微软雅黑" w:hAnsi="微软雅黑" w:cs="微软雅黑"/>
          <w:color w:val="auto"/>
          <w:sz w:val="18"/>
          <w:szCs w:val="18"/>
          <w:lang w:val="en-US" w:eastAsia="zh-CN"/>
        </w:rPr>
        <w:t>支付</w:t>
      </w:r>
      <w:r>
        <w:rPr>
          <w:rFonts w:hint="eastAsia" w:ascii="微软雅黑" w:hAnsi="微软雅黑" w:eastAsia="微软雅黑" w:cs="微软雅黑"/>
          <w:color w:val="auto"/>
          <w:sz w:val="18"/>
          <w:szCs w:val="18"/>
        </w:rPr>
        <w:t>服务。</w:t>
      </w:r>
    </w:p>
    <w:p w14:paraId="4CF31EE1">
      <w:pPr>
        <w:numPr>
          <w:ilvl w:val="0"/>
          <w:numId w:val="3"/>
        </w:numPr>
        <w:autoSpaceDE/>
        <w:autoSpaceDN/>
        <w:adjustRightInd w:val="0"/>
        <w:spacing w:before="157" w:beforeLines="50" w:after="157" w:afterLines="50" w:line="360" w:lineRule="auto"/>
        <w:ind w:left="425" w:hanging="425"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b/>
          <w:color w:val="auto"/>
          <w:sz w:val="18"/>
          <w:szCs w:val="18"/>
        </w:rPr>
        <w:t>甲方权利和义务</w:t>
      </w:r>
    </w:p>
    <w:p w14:paraId="6218F0D0">
      <w:pPr>
        <w:numPr>
          <w:ilvl w:val="1"/>
          <w:numId w:val="3"/>
        </w:numPr>
        <w:autoSpaceDE/>
        <w:autoSpaceDN/>
        <w:adjustRightInd w:val="0"/>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cs="微软雅黑"/>
          <w:color w:val="auto"/>
          <w:sz w:val="18"/>
          <w:szCs w:val="18"/>
          <w:lang w:val="en-US" w:eastAsia="zh-CN"/>
        </w:rPr>
        <w:t>甲乙双</w:t>
      </w:r>
      <w:r>
        <w:rPr>
          <w:rFonts w:hint="eastAsia" w:ascii="微软雅黑" w:hAnsi="微软雅黑" w:eastAsia="微软雅黑" w:cs="微软雅黑"/>
          <w:color w:val="auto"/>
          <w:sz w:val="18"/>
          <w:szCs w:val="18"/>
        </w:rPr>
        <w:t>方有义务对其交易过程中获得的各项数据遵循交易所在地和数据处理地国家或地区关于数据保密的要求（如中国的数据安全法、欧洲的GDPR等），不得向任何第三方泄露交易过程中获得的敏感数据，但法律、法规另有规定或双方另有约定的除外。双方均应采取一切合理、必要的步骤，保证各自（及其雇员）遵守上述约定。双方应采取合理的预防措施以保护保密信息，此种预防措施应至少与对自己的保密信息所采取的措施一样重大，但不应少于合理的关注</w:t>
      </w:r>
      <w:r>
        <w:rPr>
          <w:rFonts w:hint="eastAsia" w:ascii="微软雅黑" w:hAnsi="微软雅黑" w:eastAsia="微软雅黑" w:cs="微软雅黑"/>
          <w:color w:val="auto"/>
          <w:sz w:val="18"/>
          <w:szCs w:val="18"/>
          <w:lang w:eastAsia="zh-CN"/>
        </w:rPr>
        <w:t>。</w:t>
      </w:r>
    </w:p>
    <w:p w14:paraId="5B34402A">
      <w:pPr>
        <w:numPr>
          <w:ilvl w:val="1"/>
          <w:numId w:val="3"/>
        </w:numPr>
        <w:autoSpaceDE/>
        <w:autoSpaceDN/>
        <w:adjustRightInd w:val="0"/>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甲</w:t>
      </w:r>
      <w:r>
        <w:rPr>
          <w:rFonts w:hint="eastAsia" w:ascii="微软雅黑" w:hAnsi="微软雅黑" w:cs="微软雅黑"/>
          <w:color w:val="auto"/>
          <w:sz w:val="18"/>
          <w:szCs w:val="18"/>
          <w:lang w:val="en-US" w:eastAsia="zh-CN"/>
        </w:rPr>
        <w:t>乙双</w:t>
      </w:r>
      <w:r>
        <w:rPr>
          <w:rFonts w:hint="eastAsia" w:ascii="微软雅黑" w:hAnsi="微软雅黑" w:eastAsia="微软雅黑" w:cs="微软雅黑"/>
          <w:color w:val="auto"/>
          <w:sz w:val="18"/>
          <w:szCs w:val="18"/>
        </w:rPr>
        <w:t>方应当依照法律法规、国际卡组织的规定以及乙方准入商户的要求发布信息、诚信经营，不得以包括但不限于非法经营、不正当竞争、虚假宣传、非法广告、商业欺诈、侵犯知识产权等方式侵害消费者及持卡用户的合法权益，</w:t>
      </w:r>
      <w:r>
        <w:rPr>
          <w:rFonts w:hint="eastAsia" w:ascii="微软雅黑" w:hAnsi="微软雅黑" w:cs="微软雅黑"/>
          <w:color w:val="auto"/>
          <w:sz w:val="18"/>
          <w:szCs w:val="18"/>
          <w:lang w:val="en-US" w:eastAsia="zh-CN"/>
        </w:rPr>
        <w:t>违约方</w:t>
      </w:r>
      <w:r>
        <w:rPr>
          <w:rFonts w:hint="eastAsia" w:ascii="微软雅黑" w:hAnsi="微软雅黑" w:eastAsia="微软雅黑" w:cs="微软雅黑"/>
          <w:color w:val="auto"/>
          <w:sz w:val="18"/>
          <w:szCs w:val="18"/>
        </w:rPr>
        <w:t>独立承担因其上述行为引起的退货、投诉、拒付及赔偿责任，</w:t>
      </w:r>
      <w:r>
        <w:rPr>
          <w:rFonts w:hint="eastAsia" w:ascii="微软雅黑" w:hAnsi="微软雅黑" w:cs="微软雅黑"/>
          <w:color w:val="auto"/>
          <w:sz w:val="18"/>
          <w:szCs w:val="18"/>
          <w:lang w:val="en-US" w:eastAsia="zh-CN"/>
        </w:rPr>
        <w:t>违约方</w:t>
      </w:r>
      <w:r>
        <w:rPr>
          <w:rFonts w:hint="eastAsia" w:ascii="微软雅黑" w:hAnsi="微软雅黑" w:eastAsia="微软雅黑" w:cs="微软雅黑"/>
          <w:color w:val="auto"/>
          <w:sz w:val="18"/>
          <w:szCs w:val="18"/>
        </w:rPr>
        <w:t>因上述行为给</w:t>
      </w:r>
      <w:r>
        <w:rPr>
          <w:rFonts w:hint="eastAsia" w:ascii="微软雅黑" w:hAnsi="微软雅黑" w:cs="微软雅黑"/>
          <w:color w:val="auto"/>
          <w:sz w:val="18"/>
          <w:szCs w:val="18"/>
          <w:lang w:val="en-US" w:eastAsia="zh-CN"/>
        </w:rPr>
        <w:t>守约</w:t>
      </w:r>
      <w:r>
        <w:rPr>
          <w:rFonts w:hint="eastAsia" w:ascii="微软雅黑" w:hAnsi="微软雅黑" w:eastAsia="微软雅黑" w:cs="微软雅黑"/>
          <w:color w:val="auto"/>
          <w:sz w:val="18"/>
          <w:szCs w:val="18"/>
        </w:rPr>
        <w:t>方造成损失的，应当承担赔偿责任。</w:t>
      </w:r>
    </w:p>
    <w:p w14:paraId="2252060A">
      <w:pPr>
        <w:numPr>
          <w:ilvl w:val="1"/>
          <w:numId w:val="3"/>
        </w:numPr>
        <w:autoSpaceDE/>
        <w:autoSpaceDN/>
        <w:adjustRightInd w:val="0"/>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甲方应如实向乙方提供其经营主体的基本信息、营业执照等材料及相关证明，并如实陈述其实际业务经营范围</w:t>
      </w:r>
      <w:r>
        <w:rPr>
          <w:rFonts w:hint="eastAsia" w:ascii="微软雅黑" w:hAnsi="微软雅黑" w:cs="微软雅黑"/>
          <w:color w:val="auto"/>
          <w:sz w:val="18"/>
          <w:szCs w:val="18"/>
          <w:lang w:val="en-US" w:eastAsia="zh-CN"/>
        </w:rPr>
        <w:t>和内容</w:t>
      </w:r>
      <w:r>
        <w:rPr>
          <w:rFonts w:hint="eastAsia" w:ascii="微软雅黑" w:hAnsi="微软雅黑" w:eastAsia="微软雅黑" w:cs="微软雅黑"/>
          <w:color w:val="auto"/>
          <w:sz w:val="18"/>
          <w:szCs w:val="18"/>
        </w:rPr>
        <w:t>。甲方在上述资料及注册信息、注册邮箱、结算信息等重要信息发生变更时，应至少提前</w:t>
      </w:r>
      <w:r>
        <w:rPr>
          <w:rFonts w:hint="eastAsia" w:ascii="微软雅黑" w:hAnsi="微软雅黑" w:cs="微软雅黑"/>
          <w:color w:val="auto"/>
          <w:sz w:val="18"/>
          <w:szCs w:val="18"/>
          <w:lang w:val="en-US" w:eastAsia="zh-CN"/>
        </w:rPr>
        <w:t>五</w:t>
      </w:r>
      <w:r>
        <w:rPr>
          <w:rFonts w:hint="eastAsia" w:ascii="微软雅黑" w:hAnsi="微软雅黑" w:eastAsia="微软雅黑" w:cs="微软雅黑"/>
          <w:color w:val="auto"/>
          <w:sz w:val="18"/>
          <w:szCs w:val="18"/>
        </w:rPr>
        <w:t>个工作日以书面形式</w:t>
      </w:r>
      <w:r>
        <w:rPr>
          <w:rFonts w:hint="eastAsia" w:ascii="微软雅黑" w:hAnsi="微软雅黑" w:cs="微软雅黑"/>
          <w:color w:val="auto"/>
          <w:sz w:val="18"/>
          <w:szCs w:val="18"/>
          <w:lang w:val="en-US" w:eastAsia="zh-CN"/>
        </w:rPr>
        <w:t>或其他双方认可的形式</w:t>
      </w:r>
      <w:r>
        <w:rPr>
          <w:rFonts w:hint="eastAsia" w:ascii="微软雅黑" w:hAnsi="微软雅黑" w:eastAsia="微软雅黑" w:cs="微软雅黑"/>
          <w:color w:val="auto"/>
          <w:sz w:val="18"/>
          <w:szCs w:val="18"/>
        </w:rPr>
        <w:t>通知乙方，并向乙方更新相应的资质材料，若因未及时通知而造成的一切损失，</w:t>
      </w:r>
      <w:r>
        <w:rPr>
          <w:rFonts w:hint="eastAsia" w:ascii="微软雅黑" w:hAnsi="微软雅黑" w:cs="微软雅黑"/>
          <w:color w:val="auto"/>
          <w:sz w:val="18"/>
          <w:szCs w:val="18"/>
          <w:lang w:val="en-US" w:eastAsia="zh-CN"/>
        </w:rPr>
        <w:t>乙方不承担责任</w:t>
      </w:r>
      <w:r>
        <w:rPr>
          <w:rFonts w:hint="eastAsia" w:ascii="微软雅黑" w:hAnsi="微软雅黑" w:eastAsia="微软雅黑" w:cs="微软雅黑"/>
          <w:color w:val="auto"/>
          <w:sz w:val="18"/>
          <w:szCs w:val="18"/>
        </w:rPr>
        <w:t>。</w:t>
      </w:r>
    </w:p>
    <w:p w14:paraId="15CEA732">
      <w:pPr>
        <w:numPr>
          <w:ilvl w:val="1"/>
          <w:numId w:val="3"/>
        </w:numPr>
        <w:autoSpaceDE/>
        <w:autoSpaceDN/>
        <w:adjustRightInd w:val="0"/>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乙方对其支付系统、网站、标示及程序等相关内容拥有绝对的知识产权及所有权，在未得到乙方书面授权的情况下，甲方不得擅自转载、复制、截取、再造乙方支付系统或网站上的内容，或者创造与乙方支付系统或网站内容有关的衍生产品。</w:t>
      </w:r>
    </w:p>
    <w:p w14:paraId="0456F1BB">
      <w:pPr>
        <w:numPr>
          <w:ilvl w:val="1"/>
          <w:numId w:val="3"/>
        </w:numPr>
        <w:autoSpaceDE/>
        <w:autoSpaceDN/>
        <w:adjustRightInd w:val="0"/>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甲方</w:t>
      </w:r>
      <w:r>
        <w:rPr>
          <w:rFonts w:hint="eastAsia" w:ascii="微软雅黑" w:hAnsi="微软雅黑" w:cs="微软雅黑"/>
          <w:color w:val="auto"/>
          <w:sz w:val="18"/>
          <w:szCs w:val="18"/>
          <w:lang w:val="en-US" w:eastAsia="zh-CN"/>
        </w:rPr>
        <w:t>应</w:t>
      </w:r>
      <w:r>
        <w:rPr>
          <w:rFonts w:hint="eastAsia" w:ascii="微软雅黑" w:hAnsi="微软雅黑" w:eastAsia="微软雅黑" w:cs="微软雅黑"/>
          <w:color w:val="auto"/>
          <w:sz w:val="18"/>
          <w:szCs w:val="18"/>
        </w:rPr>
        <w:t>完整、及时提供乙方为履行KYC(Know Your Customer)职责所需材料</w:t>
      </w:r>
      <w:r>
        <w:rPr>
          <w:rFonts w:hint="eastAsia" w:ascii="微软雅黑" w:hAnsi="微软雅黑" w:cs="微软雅黑"/>
          <w:color w:val="auto"/>
          <w:sz w:val="18"/>
          <w:szCs w:val="18"/>
          <w:lang w:val="en-US" w:eastAsia="zh-CN"/>
        </w:rPr>
        <w:t>并保证</w:t>
      </w:r>
      <w:r>
        <w:rPr>
          <w:rFonts w:hint="eastAsia" w:ascii="微软雅黑" w:hAnsi="微软雅黑" w:eastAsia="微软雅黑" w:cs="微软雅黑"/>
          <w:color w:val="auto"/>
          <w:sz w:val="18"/>
          <w:szCs w:val="18"/>
        </w:rPr>
        <w:t>提供的材料</w:t>
      </w:r>
      <w:r>
        <w:rPr>
          <w:rFonts w:hint="eastAsia" w:ascii="微软雅黑" w:hAnsi="微软雅黑" w:cs="微软雅黑"/>
          <w:color w:val="auto"/>
          <w:sz w:val="18"/>
          <w:szCs w:val="18"/>
          <w:lang w:val="en-US" w:eastAsia="zh-CN"/>
        </w:rPr>
        <w:t>不</w:t>
      </w:r>
      <w:r>
        <w:rPr>
          <w:rFonts w:hint="eastAsia" w:ascii="微软雅黑" w:hAnsi="微软雅黑" w:eastAsia="微软雅黑" w:cs="微软雅黑"/>
          <w:color w:val="auto"/>
          <w:sz w:val="18"/>
          <w:szCs w:val="18"/>
        </w:rPr>
        <w:t>存在虚假情况，</w:t>
      </w:r>
      <w:r>
        <w:rPr>
          <w:rFonts w:hint="eastAsia" w:ascii="微软雅黑" w:hAnsi="微软雅黑" w:cs="微软雅黑"/>
          <w:color w:val="auto"/>
          <w:sz w:val="18"/>
          <w:szCs w:val="18"/>
          <w:lang w:val="en-US" w:eastAsia="zh-CN"/>
        </w:rPr>
        <w:t>若违反上述内容，守约</w:t>
      </w:r>
      <w:r>
        <w:rPr>
          <w:rFonts w:hint="eastAsia" w:ascii="微软雅黑" w:hAnsi="微软雅黑" w:eastAsia="微软雅黑" w:cs="微软雅黑"/>
          <w:color w:val="auto"/>
          <w:sz w:val="18"/>
          <w:szCs w:val="18"/>
        </w:rPr>
        <w:t>方有权随时无责终止本协议，</w:t>
      </w:r>
      <w:r>
        <w:rPr>
          <w:rFonts w:hint="eastAsia" w:ascii="微软雅黑" w:hAnsi="微软雅黑" w:cs="微软雅黑"/>
          <w:color w:val="auto"/>
          <w:sz w:val="18"/>
          <w:szCs w:val="18"/>
          <w:lang w:val="en-US" w:eastAsia="zh-CN"/>
        </w:rPr>
        <w:t>违约方</w:t>
      </w:r>
      <w:r>
        <w:rPr>
          <w:rFonts w:hint="eastAsia" w:ascii="微软雅黑" w:hAnsi="微软雅黑" w:eastAsia="微软雅黑" w:cs="微软雅黑"/>
          <w:color w:val="auto"/>
          <w:sz w:val="18"/>
          <w:szCs w:val="18"/>
        </w:rPr>
        <w:t>应对其因上述行为对</w:t>
      </w:r>
      <w:r>
        <w:rPr>
          <w:rFonts w:hint="eastAsia" w:ascii="微软雅黑" w:hAnsi="微软雅黑" w:cs="微软雅黑"/>
          <w:color w:val="auto"/>
          <w:sz w:val="18"/>
          <w:szCs w:val="18"/>
          <w:lang w:val="en-US" w:eastAsia="zh-CN"/>
        </w:rPr>
        <w:t>守约</w:t>
      </w:r>
      <w:r>
        <w:rPr>
          <w:rFonts w:hint="eastAsia" w:ascii="微软雅黑" w:hAnsi="微软雅黑" w:eastAsia="微软雅黑" w:cs="微软雅黑"/>
          <w:color w:val="auto"/>
          <w:sz w:val="18"/>
          <w:szCs w:val="18"/>
        </w:rPr>
        <w:t>方造成的损失承担违约赔偿责任。</w:t>
      </w:r>
    </w:p>
    <w:p w14:paraId="5D9E8449">
      <w:pPr>
        <w:numPr>
          <w:ilvl w:val="1"/>
          <w:numId w:val="3"/>
        </w:numPr>
        <w:autoSpaceDE/>
        <w:autoSpaceDN/>
        <w:adjustRightInd w:val="0"/>
        <w:spacing w:before="157" w:after="157" w:afterLines="50"/>
        <w:ind w:left="850" w:hanging="453" w:firstLineChars="0"/>
        <w:jc w:val="both"/>
        <w:rPr>
          <w:rFonts w:hint="default" w:ascii="微软雅黑" w:hAnsi="微软雅黑" w:eastAsia="微软雅黑" w:cs="微软雅黑"/>
          <w:color w:val="auto"/>
          <w:sz w:val="18"/>
          <w:szCs w:val="18"/>
        </w:rPr>
      </w:pPr>
      <w:r>
        <w:rPr>
          <w:rFonts w:hint="default" w:ascii="微软雅黑" w:hAnsi="微软雅黑" w:eastAsia="微软雅黑" w:cs="微软雅黑"/>
          <w:color w:val="auto"/>
          <w:sz w:val="18"/>
          <w:szCs w:val="18"/>
        </w:rPr>
        <w:t>甲方不得通过乙方提供的支付接口进行洗钱、诈骗等非法交易，且需履行反洗钱（AML）义务（详见附件相关约定）。</w:t>
      </w:r>
      <w:r>
        <w:rPr>
          <w:rFonts w:hint="eastAsia" w:ascii="微软雅黑" w:hAnsi="微软雅黑" w:cs="微软雅黑"/>
          <w:color w:val="auto"/>
          <w:sz w:val="18"/>
          <w:szCs w:val="18"/>
          <w:lang w:val="en-US" w:eastAsia="zh-CN"/>
        </w:rPr>
        <w:t>乙方一</w:t>
      </w:r>
      <w:r>
        <w:rPr>
          <w:rFonts w:hint="default" w:ascii="微软雅黑" w:hAnsi="微软雅黑" w:eastAsia="微软雅黑" w:cs="微软雅黑"/>
          <w:color w:val="auto"/>
          <w:sz w:val="18"/>
          <w:szCs w:val="18"/>
        </w:rPr>
        <w:t>旦</w:t>
      </w:r>
      <w:r>
        <w:rPr>
          <w:rFonts w:hint="eastAsia" w:ascii="微软雅黑" w:hAnsi="微软雅黑" w:cs="微软雅黑"/>
          <w:color w:val="auto"/>
          <w:sz w:val="18"/>
          <w:szCs w:val="18"/>
          <w:lang w:val="en-US" w:eastAsia="zh-CN"/>
        </w:rPr>
        <w:t>怀疑另一</w:t>
      </w:r>
      <w:r>
        <w:rPr>
          <w:rFonts w:hint="default" w:ascii="微软雅黑" w:hAnsi="微软雅黑" w:eastAsia="微软雅黑" w:cs="微软雅黑"/>
          <w:color w:val="auto"/>
          <w:sz w:val="18"/>
          <w:szCs w:val="18"/>
        </w:rPr>
        <w:t>方</w:t>
      </w:r>
      <w:r>
        <w:rPr>
          <w:rFonts w:hint="eastAsia" w:ascii="微软雅黑" w:hAnsi="微软雅黑" w:cs="微软雅黑"/>
          <w:color w:val="auto"/>
          <w:sz w:val="18"/>
          <w:szCs w:val="18"/>
          <w:lang w:val="en-US" w:eastAsia="zh-CN"/>
        </w:rPr>
        <w:t>涉嫌</w:t>
      </w:r>
      <w:r>
        <w:rPr>
          <w:rFonts w:hint="default" w:ascii="微软雅黑" w:hAnsi="微软雅黑" w:eastAsia="微软雅黑" w:cs="微软雅黑"/>
          <w:color w:val="auto"/>
          <w:sz w:val="18"/>
          <w:szCs w:val="18"/>
        </w:rPr>
        <w:t>洗钱、诈骗或与此类行为具有较高相似度的行为，乙方有权随时停止交易，终止本协议，并上报至相关监管部门及公安、司法机关。乙方不对甲方的非法交易承担任何责任。</w:t>
      </w:r>
    </w:p>
    <w:p w14:paraId="0E3FB52E">
      <w:pPr>
        <w:numPr>
          <w:ilvl w:val="1"/>
          <w:numId w:val="3"/>
        </w:numPr>
        <w:autoSpaceDE/>
        <w:autoSpaceDN/>
        <w:adjustRightInd w:val="0"/>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甲方不得进行虚假交易或使用下挂网站、跳转网站</w:t>
      </w:r>
      <w:r>
        <w:rPr>
          <w:rFonts w:hint="eastAsia" w:ascii="微软雅黑" w:hAnsi="微软雅黑" w:cs="微软雅黑"/>
          <w:color w:val="auto"/>
          <w:sz w:val="18"/>
          <w:szCs w:val="18"/>
          <w:lang w:val="en-US" w:eastAsia="zh-CN"/>
        </w:rPr>
        <w:t>等方式</w:t>
      </w:r>
      <w:r>
        <w:rPr>
          <w:rFonts w:hint="eastAsia" w:ascii="微软雅黑" w:hAnsi="微软雅黑" w:eastAsia="微软雅黑" w:cs="微软雅黑"/>
          <w:color w:val="auto"/>
          <w:sz w:val="18"/>
          <w:szCs w:val="18"/>
        </w:rPr>
        <w:t>来规避乙方的合规要求或风控系统的监测，一经发现，</w:t>
      </w:r>
      <w:r>
        <w:rPr>
          <w:rFonts w:hint="eastAsia" w:ascii="微软雅黑" w:hAnsi="微软雅黑" w:cs="微软雅黑"/>
          <w:color w:val="auto"/>
          <w:sz w:val="18"/>
          <w:szCs w:val="18"/>
          <w:lang w:val="en-US" w:eastAsia="zh-CN"/>
        </w:rPr>
        <w:t>乙方</w:t>
      </w:r>
      <w:r>
        <w:rPr>
          <w:rFonts w:hint="eastAsia" w:ascii="微软雅黑" w:hAnsi="微软雅黑" w:eastAsia="微软雅黑" w:cs="微软雅黑"/>
          <w:color w:val="auto"/>
          <w:sz w:val="18"/>
          <w:szCs w:val="18"/>
        </w:rPr>
        <w:t>有权随时终止服务，且后续产生的所有风险和监管机构罚款费用以及因</w:t>
      </w:r>
      <w:r>
        <w:rPr>
          <w:rFonts w:hint="eastAsia" w:ascii="微软雅黑" w:hAnsi="微软雅黑" w:cs="微软雅黑"/>
          <w:color w:val="auto"/>
          <w:sz w:val="18"/>
          <w:szCs w:val="18"/>
          <w:lang w:val="en-US" w:eastAsia="zh-CN"/>
        </w:rPr>
        <w:t>乙</w:t>
      </w:r>
      <w:r>
        <w:rPr>
          <w:rFonts w:hint="eastAsia" w:ascii="微软雅黑" w:hAnsi="微软雅黑" w:eastAsia="微软雅黑" w:cs="微软雅黑"/>
          <w:color w:val="auto"/>
          <w:sz w:val="18"/>
          <w:szCs w:val="18"/>
        </w:rPr>
        <w:t>方终止服务而导致</w:t>
      </w:r>
      <w:r>
        <w:rPr>
          <w:rFonts w:hint="eastAsia" w:ascii="微软雅黑" w:hAnsi="微软雅黑" w:cs="微软雅黑"/>
          <w:color w:val="auto"/>
          <w:sz w:val="18"/>
          <w:szCs w:val="18"/>
          <w:lang w:val="en-US" w:eastAsia="zh-CN"/>
        </w:rPr>
        <w:t>甲</w:t>
      </w:r>
      <w:r>
        <w:rPr>
          <w:rFonts w:hint="eastAsia" w:ascii="微软雅黑" w:hAnsi="微软雅黑" w:eastAsia="微软雅黑" w:cs="微软雅黑"/>
          <w:color w:val="auto"/>
          <w:sz w:val="18"/>
          <w:szCs w:val="18"/>
        </w:rPr>
        <w:t>方遭受的损失将由甲方自行承担。</w:t>
      </w:r>
    </w:p>
    <w:p w14:paraId="1EC6A10D">
      <w:pPr>
        <w:numPr>
          <w:ilvl w:val="1"/>
          <w:numId w:val="3"/>
        </w:numPr>
        <w:autoSpaceDE/>
        <w:autoSpaceDN/>
        <w:adjustRightInd w:val="0"/>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甲方须制定科学合理的订单处理、物流发货时效、产品质量、客服服务等标准。甲方货运实物给客户的，须要求客户收到货物后签收，并妥善保留签收单等交易凭证，</w:t>
      </w:r>
      <w:r>
        <w:rPr>
          <w:rFonts w:hint="eastAsia" w:ascii="微软雅黑" w:hAnsi="微软雅黑" w:eastAsia="微软雅黑" w:cs="微软雅黑"/>
          <w:color w:val="auto"/>
          <w:sz w:val="18"/>
          <w:szCs w:val="18"/>
          <w:lang w:val="en-US" w:eastAsia="zh-CN"/>
        </w:rPr>
        <w:t>如果非实物销售服务，甲方也需保留提供了服务的相关证据。根据香港反洗钱法案要求，</w:t>
      </w:r>
      <w:r>
        <w:rPr>
          <w:rFonts w:hint="eastAsia" w:ascii="微软雅黑" w:hAnsi="微软雅黑" w:eastAsia="微软雅黑" w:cs="微软雅黑"/>
          <w:color w:val="auto"/>
          <w:sz w:val="18"/>
          <w:szCs w:val="18"/>
        </w:rPr>
        <w:t>相关</w:t>
      </w:r>
      <w:r>
        <w:rPr>
          <w:rFonts w:hint="eastAsia" w:ascii="微软雅黑" w:hAnsi="微软雅黑" w:eastAsia="微软雅黑" w:cs="微软雅黑"/>
          <w:color w:val="auto"/>
          <w:sz w:val="18"/>
          <w:szCs w:val="18"/>
          <w:lang w:val="en-US" w:eastAsia="zh-CN"/>
        </w:rPr>
        <w:t>销售或服务</w:t>
      </w:r>
      <w:r>
        <w:rPr>
          <w:rFonts w:hint="eastAsia" w:ascii="微软雅黑" w:hAnsi="微软雅黑" w:eastAsia="微软雅黑" w:cs="微软雅黑"/>
          <w:color w:val="auto"/>
          <w:sz w:val="18"/>
          <w:szCs w:val="18"/>
        </w:rPr>
        <w:t>凭证信息应至少保留五年，以备查验。</w:t>
      </w:r>
    </w:p>
    <w:p w14:paraId="75E22424">
      <w:pPr>
        <w:numPr>
          <w:ilvl w:val="1"/>
          <w:numId w:val="3"/>
        </w:numPr>
        <w:autoSpaceDE/>
        <w:autoSpaceDN/>
        <w:adjustRightInd w:val="0"/>
        <w:spacing w:before="157" w:after="157" w:afterLines="50"/>
        <w:ind w:left="850" w:hanging="453" w:firstLineChars="0"/>
        <w:jc w:val="both"/>
        <w:rPr>
          <w:rFonts w:hint="eastAsia" w:ascii="微软雅黑" w:hAnsi="微软雅黑" w:eastAsia="微软雅黑" w:cs="微软雅黑"/>
          <w:color w:val="auto"/>
          <w:sz w:val="18"/>
          <w:szCs w:val="18"/>
        </w:rPr>
      </w:pPr>
      <w:r>
        <w:rPr>
          <w:rFonts w:hint="eastAsia" w:ascii="微软雅黑" w:hAnsi="微软雅黑" w:cs="微软雅黑"/>
          <w:color w:val="auto"/>
          <w:sz w:val="18"/>
          <w:szCs w:val="18"/>
        </w:rPr>
        <w:t>甲方仅能将乙方的服务用于其自身及其集团内公司的真实合法交易。非经乙方书面允许，甲方及其集团不得将网络支付服务用于准入时申报网站或APP、小程序之外的其他网站或约定业务之外的其他业务，不得将网络支付服务、设备直接或变相延伸至甲方之外的任何第三方使用。如违反本规定，乙方有权立即停止向甲方提供服务、限制甲方的交易款项出款、罚款，且甲方应当赔偿由此造成的全部损失。</w:t>
      </w:r>
    </w:p>
    <w:p w14:paraId="255D0B0D">
      <w:pPr>
        <w:numPr>
          <w:ilvl w:val="1"/>
          <w:numId w:val="3"/>
        </w:numPr>
        <w:autoSpaceDE/>
        <w:autoSpaceDN/>
        <w:adjustRightInd w:val="0"/>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甲方不得实施损害</w:t>
      </w:r>
      <w:r>
        <w:rPr>
          <w:rFonts w:hint="eastAsia" w:ascii="微软雅黑" w:hAnsi="微软雅黑" w:cs="微软雅黑"/>
          <w:color w:val="auto"/>
          <w:sz w:val="18"/>
          <w:szCs w:val="18"/>
          <w:lang w:val="en-US" w:eastAsia="zh-CN"/>
        </w:rPr>
        <w:t>乙方品牌、</w:t>
      </w:r>
      <w:r>
        <w:rPr>
          <w:rFonts w:hint="eastAsia" w:ascii="微软雅黑" w:hAnsi="微软雅黑" w:eastAsia="微软雅黑" w:cs="微软雅黑"/>
          <w:color w:val="auto"/>
          <w:sz w:val="18"/>
          <w:szCs w:val="18"/>
        </w:rPr>
        <w:t>卡组织品牌或者侵犯知识产权的行为。若违反本条约定，乙方有权立即终止提供所有服务，且甲方应独自承担全部侵权责任。此外，因甲方行为导致乙方被卡组织、其上游收单机构或其他监管机构处罚时，乙方有权向甲方追偿。</w:t>
      </w:r>
    </w:p>
    <w:p w14:paraId="50BEB3D7">
      <w:pPr>
        <w:numPr>
          <w:ilvl w:val="1"/>
          <w:numId w:val="3"/>
        </w:numPr>
        <w:autoSpaceDE/>
        <w:autoSpaceDN/>
        <w:adjustRightInd w:val="0"/>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甲方应自行履行其在线电子商务活动所涉销售目的国的全部纳税</w:t>
      </w:r>
      <w:r>
        <w:rPr>
          <w:rFonts w:hint="eastAsia" w:ascii="微软雅黑" w:hAnsi="微软雅黑" w:cs="微软雅黑"/>
          <w:color w:val="auto"/>
          <w:sz w:val="18"/>
          <w:szCs w:val="18"/>
          <w:lang w:val="en-US" w:eastAsia="zh-CN"/>
        </w:rPr>
        <w:t>义务</w:t>
      </w:r>
      <w:r>
        <w:rPr>
          <w:rFonts w:hint="eastAsia" w:ascii="微软雅黑" w:hAnsi="微软雅黑" w:eastAsia="微软雅黑" w:cs="微软雅黑"/>
          <w:color w:val="auto"/>
          <w:sz w:val="18"/>
          <w:szCs w:val="18"/>
        </w:rPr>
        <w:t>，如果相关国家法律法规明确要求乙方或其关联方代扣代缴或补缴相关税款的，甲方不得拒绝履行纳税义务，否则乙方有权在5个工作日内停止向甲方提供服务并保留向甲方追索当地税款的权利。</w:t>
      </w:r>
    </w:p>
    <w:p w14:paraId="5B3BEF09">
      <w:pPr>
        <w:numPr>
          <w:ilvl w:val="1"/>
          <w:numId w:val="3"/>
        </w:numPr>
        <w:autoSpaceDE/>
        <w:autoSpaceDN/>
        <w:adjustRightInd w:val="0"/>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合作过程中，由于</w:t>
      </w:r>
      <w:r>
        <w:rPr>
          <w:rFonts w:hint="eastAsia" w:ascii="微软雅黑" w:hAnsi="微软雅黑" w:cs="微软雅黑"/>
          <w:color w:val="auto"/>
          <w:sz w:val="18"/>
          <w:szCs w:val="18"/>
          <w:lang w:val="en-US" w:eastAsia="zh-CN"/>
        </w:rPr>
        <w:t>内部</w:t>
      </w:r>
      <w:r>
        <w:rPr>
          <w:rFonts w:hint="eastAsia" w:ascii="微软雅黑" w:hAnsi="微软雅黑" w:eastAsia="微软雅黑" w:cs="微软雅黑"/>
          <w:color w:val="auto"/>
          <w:sz w:val="18"/>
          <w:szCs w:val="18"/>
        </w:rPr>
        <w:t>系统故障、人工差错、银行误操作或其他不可归责于任何一方的原因导致乙方给甲方实际的结算金额错误，多结算或少结算给甲方的，双方同意第一时间将多结算或少结算的金额退回或补足。任何一方无正当理由在10个工作日内拒不返还或补足的，另一方有权要求违约方支付差额款项及自应履行之日起计算的滞纳金（按日息万分之五计算）并采取法律途径进行追索。</w:t>
      </w:r>
    </w:p>
    <w:p w14:paraId="3F4632BC">
      <w:pPr>
        <w:numPr>
          <w:ilvl w:val="1"/>
          <w:numId w:val="3"/>
        </w:numPr>
        <w:autoSpaceDE/>
        <w:autoSpaceDN/>
        <w:adjustRightInd w:val="0"/>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为方便乙方为甲方提供国际银行卡及全球化本地支付服务，甲方应对其在不同地区所需</w:t>
      </w:r>
      <w:r>
        <w:rPr>
          <w:rFonts w:hint="eastAsia" w:ascii="微软雅黑" w:hAnsi="微软雅黑" w:cs="微软雅黑"/>
          <w:color w:val="auto"/>
          <w:sz w:val="18"/>
          <w:szCs w:val="18"/>
          <w:lang w:val="en-US" w:eastAsia="zh-CN"/>
        </w:rPr>
        <w:t>的支付</w:t>
      </w:r>
      <w:r>
        <w:rPr>
          <w:rFonts w:hint="eastAsia" w:ascii="微软雅黑" w:hAnsi="微软雅黑" w:eastAsia="微软雅黑" w:cs="微软雅黑"/>
          <w:color w:val="auto"/>
          <w:sz w:val="18"/>
          <w:szCs w:val="18"/>
        </w:rPr>
        <w:t>服务</w:t>
      </w:r>
      <w:r>
        <w:rPr>
          <w:rFonts w:hint="eastAsia" w:ascii="微软雅黑" w:hAnsi="微软雅黑" w:cs="微软雅黑"/>
          <w:color w:val="auto"/>
          <w:sz w:val="18"/>
          <w:szCs w:val="18"/>
          <w:lang w:val="en-US" w:eastAsia="zh-CN"/>
        </w:rPr>
        <w:t>或不同的支付方式（如支持卡种、本地钱包名称等）</w:t>
      </w:r>
      <w:r>
        <w:rPr>
          <w:rFonts w:hint="eastAsia" w:ascii="微软雅黑" w:hAnsi="微软雅黑" w:eastAsia="微软雅黑" w:cs="微软雅黑"/>
          <w:color w:val="auto"/>
          <w:sz w:val="18"/>
          <w:szCs w:val="18"/>
        </w:rPr>
        <w:t>主动告知乙方</w:t>
      </w:r>
      <w:r>
        <w:rPr>
          <w:rFonts w:hint="eastAsia" w:ascii="微软雅黑" w:hAnsi="微软雅黑" w:cs="微软雅黑"/>
          <w:color w:val="auto"/>
          <w:sz w:val="18"/>
          <w:szCs w:val="18"/>
          <w:lang w:eastAsia="zh-CN"/>
        </w:rPr>
        <w:t>，</w:t>
      </w:r>
      <w:r>
        <w:rPr>
          <w:rFonts w:hint="eastAsia" w:ascii="微软雅黑" w:hAnsi="微软雅黑" w:cs="微软雅黑"/>
          <w:color w:val="auto"/>
          <w:sz w:val="18"/>
          <w:szCs w:val="18"/>
          <w:lang w:val="en-US" w:eastAsia="zh-CN"/>
        </w:rPr>
        <w:t>乙方再开通</w:t>
      </w:r>
      <w:r>
        <w:rPr>
          <w:rFonts w:hint="eastAsia" w:ascii="微软雅黑" w:hAnsi="微软雅黑" w:eastAsia="微软雅黑" w:cs="微软雅黑"/>
          <w:color w:val="auto"/>
          <w:sz w:val="18"/>
          <w:szCs w:val="18"/>
          <w:lang w:eastAsia="zh-CN"/>
        </w:rPr>
        <w:t>。</w:t>
      </w:r>
    </w:p>
    <w:p w14:paraId="3030F7CF">
      <w:pPr>
        <w:numPr>
          <w:ilvl w:val="1"/>
          <w:numId w:val="3"/>
        </w:numPr>
        <w:autoSpaceDE/>
        <w:autoSpaceDN/>
        <w:adjustRightInd w:val="0"/>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双方保留向对方追偿其因实现本协议项下权利而产生的所有合理相关费用的权利，包括但不限于违约金、滞纳金、诉讼费、律师费、保全费、交通费、误工费、食宿费等。</w:t>
      </w:r>
    </w:p>
    <w:p w14:paraId="2D1222A4">
      <w:pPr>
        <w:keepNext w:val="0"/>
        <w:keepLines w:val="0"/>
        <w:pageBreakBefore w:val="0"/>
        <w:numPr>
          <w:ilvl w:val="0"/>
          <w:numId w:val="3"/>
        </w:numPr>
        <w:kinsoku/>
        <w:wordWrap/>
        <w:overflowPunct/>
        <w:topLinePunct w:val="0"/>
        <w:autoSpaceDE/>
        <w:autoSpaceDN/>
        <w:bidi w:val="0"/>
        <w:adjustRightInd w:val="0"/>
        <w:snapToGrid/>
        <w:spacing w:before="157" w:beforeLines="50" w:after="157" w:afterLines="50" w:line="360" w:lineRule="auto"/>
        <w:ind w:left="425" w:leftChars="0" w:hanging="425" w:firstLineChars="0"/>
        <w:jc w:val="both"/>
        <w:rPr>
          <w:rFonts w:hint="eastAsia" w:ascii="微软雅黑" w:hAnsi="微软雅黑" w:eastAsia="微软雅黑" w:cs="微软雅黑"/>
          <w:b/>
          <w:color w:val="auto"/>
          <w:sz w:val="18"/>
          <w:szCs w:val="18"/>
        </w:rPr>
      </w:pPr>
      <w:r>
        <w:rPr>
          <w:rFonts w:hint="eastAsia" w:ascii="微软雅黑" w:hAnsi="微软雅黑" w:eastAsia="微软雅黑" w:cs="微软雅黑"/>
          <w:b/>
          <w:color w:val="auto"/>
          <w:sz w:val="18"/>
          <w:szCs w:val="18"/>
        </w:rPr>
        <w:t>乙方权利和义务</w:t>
      </w:r>
    </w:p>
    <w:p w14:paraId="3D056929">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 xml:space="preserve">甲方同意并授权乙方为实现本协议目的实时监控甲方的交易，以预防可能产生的包括但不限于盗刷类的欺诈拒付、洗钱或与之高度相似的高风险行为。乙方基于自身对交易风险的专业认知、识别和合理判断，在发现可能产生包括但不限于交易欺诈拒付、洗钱或与之高度相似的高风险异常行为时，有权直接拒绝该笔交易或将交易状态设置为“待确认状态（Pending)”或其他同等含义的状态，当交易被设为“Pending”等状态时，甲方需在规定时间内核查交易是否涉嫌盗刷欺诈，而后再判断该交易是否放行；乙方对甲方的异常交易进行审查的，甲方应积极配合提供资料，并确保乙方能够顺利进入甲方的相关网站或者物理站点。同时，乙方有权根据情况决定是否对甲方采取包括但不限于退款、待结算款项暂缓结算、限制出款、停止提供服务、罚款、解除本协议等措施。甲方同意，本条款并不明示或暗示乙方具有对甲方交易进行防范盗刷类欺诈风险的义务，甲方需自行对其交易进行盗刷欺诈类的风险防范并承担欺诈损失。</w:t>
      </w:r>
    </w:p>
    <w:p w14:paraId="2D523A64">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 xml:space="preserve">乙方需对甲方产生的消费、退款、拒付等类型的交易进行处理。乙方系统实时同步处理结果告知甲方，甲方有异议的，须在收到通知后10个工作日内提出，否则视为无异议。</w:t>
      </w:r>
    </w:p>
    <w:p w14:paraId="7250717B">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若甲方出现以下情形，乙方有权向甲方采取处罚措施，包括</w:t>
      </w:r>
      <w:r>
        <w:rPr>
          <w:rFonts w:hint="eastAsia" w:ascii="微软雅黑" w:hAnsi="微软雅黑" w:cs="微软雅黑"/>
          <w:color w:val="auto"/>
          <w:sz w:val="18"/>
          <w:szCs w:val="18"/>
          <w:lang w:val="en-US" w:eastAsia="zh-CN"/>
        </w:rPr>
        <w:t>但不限于</w:t>
      </w:r>
      <w:r>
        <w:rPr>
          <w:rFonts w:hint="eastAsia" w:ascii="微软雅黑" w:hAnsi="微软雅黑" w:eastAsia="微软雅黑" w:cs="微软雅黑"/>
          <w:color w:val="auto"/>
          <w:sz w:val="18"/>
          <w:szCs w:val="18"/>
        </w:rPr>
        <w:t>限制出款、延迟结算、</w:t>
      </w:r>
      <w:r>
        <w:rPr>
          <w:rFonts w:hint="eastAsia" w:ascii="微软雅黑" w:hAnsi="微软雅黑" w:cs="微软雅黑"/>
          <w:color w:val="auto"/>
          <w:sz w:val="18"/>
          <w:szCs w:val="18"/>
          <w:lang w:val="en-US" w:eastAsia="zh-CN"/>
        </w:rPr>
        <w:t>处以</w:t>
      </w:r>
      <w:r>
        <w:rPr>
          <w:rFonts w:hint="eastAsia" w:ascii="微软雅黑" w:hAnsi="微软雅黑" w:eastAsia="微软雅黑" w:cs="微软雅黑"/>
          <w:color w:val="auto"/>
          <w:sz w:val="18"/>
          <w:szCs w:val="18"/>
        </w:rPr>
        <w:t>罚款</w:t>
      </w:r>
      <w:r>
        <w:rPr>
          <w:rFonts w:hint="eastAsia" w:ascii="微软雅黑" w:hAnsi="微软雅黑" w:cs="微软雅黑"/>
          <w:color w:val="auto"/>
          <w:sz w:val="18"/>
          <w:szCs w:val="18"/>
          <w:lang w:eastAsia="zh-CN"/>
        </w:rPr>
        <w:t>、</w:t>
      </w:r>
      <w:r>
        <w:rPr>
          <w:rFonts w:hint="eastAsia" w:ascii="微软雅黑" w:hAnsi="微软雅黑" w:eastAsia="微软雅黑" w:cs="微软雅黑"/>
          <w:color w:val="auto"/>
          <w:sz w:val="18"/>
          <w:szCs w:val="18"/>
        </w:rPr>
        <w:t>关闭通道、解除协议：</w:t>
      </w:r>
    </w:p>
    <w:p w14:paraId="754B5BC8">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cs="微软雅黑"/>
          <w:color w:val="auto"/>
          <w:sz w:val="18"/>
          <w:szCs w:val="18"/>
          <w:lang w:val="en-US" w:eastAsia="zh-CN"/>
        </w:rPr>
        <w:t>利用乙方支付通道</w:t>
      </w:r>
      <w:r>
        <w:rPr>
          <w:rFonts w:hint="eastAsia" w:ascii="微软雅黑" w:hAnsi="微软雅黑" w:eastAsia="微软雅黑" w:cs="微软雅黑"/>
          <w:color w:val="auto"/>
          <w:sz w:val="18"/>
          <w:szCs w:val="18"/>
        </w:rPr>
        <w:t>进行虚假交易或违规使用乙方支付接口如下挂网站，跳转到未在乙方备案的网站</w:t>
      </w:r>
      <w:r>
        <w:rPr>
          <w:rFonts w:hint="eastAsia" w:ascii="微软雅黑" w:hAnsi="微软雅黑" w:cs="微软雅黑"/>
          <w:color w:val="auto"/>
          <w:sz w:val="18"/>
          <w:szCs w:val="18"/>
          <w:lang w:val="en-US" w:eastAsia="zh-CN"/>
        </w:rPr>
        <w:t>交易</w:t>
      </w:r>
      <w:r>
        <w:rPr>
          <w:rFonts w:hint="eastAsia" w:ascii="微软雅黑" w:hAnsi="微软雅黑" w:eastAsia="微软雅黑" w:cs="微软雅黑"/>
          <w:color w:val="auto"/>
          <w:sz w:val="18"/>
          <w:szCs w:val="18"/>
        </w:rPr>
        <w:t>等</w:t>
      </w:r>
      <w:r>
        <w:rPr>
          <w:rFonts w:hint="eastAsia" w:ascii="微软雅黑" w:hAnsi="微软雅黑" w:cs="微软雅黑"/>
          <w:color w:val="auto"/>
          <w:sz w:val="18"/>
          <w:szCs w:val="18"/>
          <w:lang w:val="en-US" w:eastAsia="zh-CN"/>
        </w:rPr>
        <w:t>行为将不被允许</w:t>
      </w:r>
      <w:r>
        <w:rPr>
          <w:rFonts w:hint="eastAsia" w:ascii="微软雅黑" w:hAnsi="微软雅黑" w:eastAsia="微软雅黑" w:cs="微软雅黑"/>
          <w:color w:val="auto"/>
          <w:sz w:val="18"/>
          <w:szCs w:val="18"/>
        </w:rPr>
        <w:t>。若存在上述行为或与之高度相似的行为</w:t>
      </w:r>
      <w:r>
        <w:rPr>
          <w:rFonts w:hint="eastAsia" w:ascii="微软雅黑" w:hAnsi="微软雅黑" w:eastAsia="微软雅黑" w:cs="微软雅黑"/>
          <w:color w:val="auto"/>
          <w:sz w:val="18"/>
          <w:szCs w:val="18"/>
          <w:lang w:eastAsia="zh-CN"/>
        </w:rPr>
        <w:t>（</w:t>
      </w:r>
      <w:r>
        <w:rPr>
          <w:rFonts w:hint="eastAsia" w:ascii="微软雅黑" w:hAnsi="微软雅黑" w:eastAsia="微软雅黑" w:cs="微软雅黑"/>
          <w:color w:val="auto"/>
          <w:sz w:val="18"/>
          <w:szCs w:val="18"/>
          <w:lang w:val="en-US" w:eastAsia="zh-CN"/>
        </w:rPr>
        <w:t>以乙方使用的网站扫描工具G2/Austreme的报告或上游通道、卡组织发出的TLD调查为准）</w:t>
      </w:r>
      <w:r>
        <w:rPr>
          <w:rFonts w:hint="eastAsia" w:ascii="微软雅黑" w:hAnsi="微软雅黑" w:eastAsia="微软雅黑" w:cs="微软雅黑"/>
          <w:color w:val="auto"/>
          <w:sz w:val="18"/>
          <w:szCs w:val="18"/>
        </w:rPr>
        <w:t>，</w:t>
      </w:r>
      <w:r>
        <w:rPr>
          <w:rFonts w:hint="eastAsia" w:ascii="微软雅黑" w:hAnsi="微软雅黑" w:cs="微软雅黑"/>
          <w:color w:val="auto"/>
          <w:sz w:val="18"/>
          <w:szCs w:val="18"/>
          <w:lang w:val="en-US" w:eastAsia="zh-CN"/>
        </w:rPr>
        <w:t>每出现一笔，违约方应承担其在乙方</w:t>
      </w:r>
      <w:r>
        <w:rPr>
          <w:rFonts w:hint="eastAsia" w:ascii="微软雅黑" w:hAnsi="微软雅黑" w:eastAsia="微软雅黑" w:cs="微软雅黑"/>
          <w:color w:val="auto"/>
          <w:sz w:val="18"/>
          <w:szCs w:val="18"/>
        </w:rPr>
        <w:t>平台</w:t>
      </w:r>
      <w:r>
        <w:rPr>
          <w:rFonts w:hint="eastAsia" w:ascii="微软雅黑" w:hAnsi="微软雅黑" w:cs="微软雅黑"/>
          <w:color w:val="auto"/>
          <w:sz w:val="18"/>
          <w:szCs w:val="18"/>
          <w:lang w:val="en-US" w:eastAsia="zh-CN"/>
        </w:rPr>
        <w:t>历史</w:t>
      </w:r>
      <w:r>
        <w:rPr>
          <w:rFonts w:hint="eastAsia" w:ascii="微软雅黑" w:hAnsi="微软雅黑" w:eastAsia="微软雅黑" w:cs="微软雅黑"/>
          <w:color w:val="auto"/>
          <w:sz w:val="18"/>
          <w:szCs w:val="18"/>
        </w:rPr>
        <w:t>累计流水总额</w:t>
      </w:r>
      <w:r>
        <w:rPr>
          <w:rFonts w:hint="eastAsia" w:ascii="微软雅黑" w:hAnsi="微软雅黑" w:cs="微软雅黑"/>
          <w:color w:val="auto"/>
          <w:sz w:val="18"/>
          <w:szCs w:val="18"/>
          <w:lang w:val="en-US" w:eastAsia="zh-CN"/>
        </w:rPr>
        <w:t xml:space="preserve">1.99 </w:t>
      </w:r>
      <w:r>
        <w:rPr>
          <w:rFonts w:hint="eastAsia" w:ascii="微软雅黑" w:hAnsi="微软雅黑" w:eastAsia="微软雅黑" w:cs="微软雅黑"/>
          <w:color w:val="auto"/>
          <w:sz w:val="18"/>
          <w:szCs w:val="18"/>
        </w:rPr>
        <w:t>%</w:t>
      </w:r>
      <w:r>
        <w:rPr>
          <w:rFonts w:hint="eastAsia" w:ascii="微软雅黑" w:hAnsi="微软雅黑" w:cs="微软雅黑"/>
          <w:color w:val="auto"/>
          <w:sz w:val="18"/>
          <w:szCs w:val="18"/>
          <w:lang w:val="en-US" w:eastAsia="zh-CN"/>
        </w:rPr>
        <w:t>的违约金</w:t>
      </w:r>
      <w:r>
        <w:rPr>
          <w:rFonts w:hint="eastAsia" w:ascii="微软雅黑" w:hAnsi="微软雅黑" w:eastAsia="微软雅黑" w:cs="微软雅黑"/>
          <w:color w:val="auto"/>
          <w:sz w:val="18"/>
          <w:szCs w:val="18"/>
        </w:rPr>
        <w:t>。</w:t>
      </w:r>
    </w:p>
    <w:p w14:paraId="16735901">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交易连续</w:t>
      </w:r>
      <w:r>
        <w:rPr>
          <w:rFonts w:hint="eastAsia" w:ascii="微软雅黑" w:hAnsi="微软雅黑" w:cs="微软雅黑"/>
          <w:color w:val="auto"/>
          <w:sz w:val="18"/>
          <w:szCs w:val="18"/>
          <w:lang w:val="en-US" w:eastAsia="zh-CN"/>
        </w:rPr>
        <w:t>3</w:t>
      </w:r>
      <w:r>
        <w:rPr>
          <w:rFonts w:hint="eastAsia" w:ascii="微软雅黑" w:hAnsi="微软雅黑" w:eastAsia="微软雅黑" w:cs="微软雅黑"/>
          <w:color w:val="auto"/>
          <w:sz w:val="18"/>
          <w:szCs w:val="18"/>
        </w:rPr>
        <w:t>个月拒付率或者欺诈率超标</w:t>
      </w:r>
      <w:r>
        <w:rPr>
          <w:rFonts w:hint="eastAsia" w:ascii="微软雅黑" w:hAnsi="微软雅黑" w:cs="微软雅黑"/>
          <w:color w:val="auto"/>
          <w:sz w:val="18"/>
          <w:szCs w:val="18"/>
          <w:lang w:val="en-US" w:eastAsia="zh-CN"/>
        </w:rPr>
        <w:t>或一个月内严重超标的</w:t>
      </w:r>
      <w:r>
        <w:rPr>
          <w:rFonts w:hint="eastAsia" w:ascii="微软雅黑" w:hAnsi="微软雅黑" w:eastAsia="微软雅黑" w:cs="微软雅黑"/>
          <w:color w:val="auto"/>
          <w:sz w:val="18"/>
          <w:szCs w:val="18"/>
        </w:rPr>
        <w:t>，乙方有权暂停服务，且有权要求甲方在五个工作日内提交拒付、欺诈交易的交易凭证等相关证据</w:t>
      </w:r>
      <w:r>
        <w:rPr>
          <w:rFonts w:hint="eastAsia" w:ascii="微软雅黑" w:hAnsi="微软雅黑" w:cs="微软雅黑"/>
          <w:color w:val="auto"/>
          <w:sz w:val="18"/>
          <w:szCs w:val="18"/>
          <w:lang w:val="en-US" w:eastAsia="zh-CN"/>
        </w:rPr>
        <w:t>以证实商业模式正常</w:t>
      </w:r>
      <w:r>
        <w:rPr>
          <w:rFonts w:hint="eastAsia" w:ascii="微软雅黑" w:hAnsi="微软雅黑" w:eastAsia="微软雅黑" w:cs="微软雅黑"/>
          <w:color w:val="auto"/>
          <w:sz w:val="18"/>
          <w:szCs w:val="18"/>
        </w:rPr>
        <w:t>。经乙方审核后，乙方有权决定</w:t>
      </w:r>
      <w:r>
        <w:rPr>
          <w:rFonts w:hint="eastAsia" w:ascii="微软雅黑" w:hAnsi="微软雅黑" w:cs="微软雅黑"/>
          <w:color w:val="auto"/>
          <w:sz w:val="18"/>
          <w:szCs w:val="18"/>
          <w:lang w:val="en-US" w:eastAsia="zh-CN"/>
        </w:rPr>
        <w:t>是否</w:t>
      </w:r>
      <w:r>
        <w:rPr>
          <w:rFonts w:hint="eastAsia" w:ascii="微软雅黑" w:hAnsi="微软雅黑" w:eastAsia="微软雅黑" w:cs="微软雅黑"/>
          <w:color w:val="auto"/>
          <w:sz w:val="18"/>
          <w:szCs w:val="18"/>
        </w:rPr>
        <w:t>继续为甲方提供服务或解除本协议。</w:t>
      </w:r>
    </w:p>
    <w:p w14:paraId="5BA02CE3">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拒付、欺诈严重超标且给乙方或其合作的收单机构或卡组织造成恶劣影响，甲方按照约定向乙方支付拒付超标、欺诈超标</w:t>
      </w:r>
      <w:r>
        <w:rPr>
          <w:rFonts w:hint="eastAsia" w:ascii="微软雅黑" w:hAnsi="微软雅黑" w:cs="微软雅黑"/>
          <w:color w:val="auto"/>
          <w:sz w:val="18"/>
          <w:szCs w:val="18"/>
          <w:lang w:val="en-US" w:eastAsia="zh-CN"/>
        </w:rPr>
        <w:t>罚款</w:t>
      </w:r>
      <w:r>
        <w:rPr>
          <w:rFonts w:hint="eastAsia" w:ascii="微软雅黑" w:hAnsi="微软雅黑" w:eastAsia="微软雅黑" w:cs="微软雅黑"/>
          <w:color w:val="auto"/>
          <w:sz w:val="18"/>
          <w:szCs w:val="18"/>
        </w:rPr>
        <w:t>后，其拒付超标、欺诈超标</w:t>
      </w:r>
      <w:r>
        <w:rPr>
          <w:rFonts w:hint="eastAsia" w:ascii="微软雅黑" w:hAnsi="微软雅黑" w:cs="微软雅黑"/>
          <w:color w:val="auto"/>
          <w:sz w:val="18"/>
          <w:szCs w:val="18"/>
          <w:lang w:val="en-US" w:eastAsia="zh-CN"/>
        </w:rPr>
        <w:t>罚款</w:t>
      </w:r>
      <w:r>
        <w:rPr>
          <w:rFonts w:hint="eastAsia" w:ascii="微软雅黑" w:hAnsi="微软雅黑" w:eastAsia="微软雅黑" w:cs="微软雅黑"/>
          <w:color w:val="auto"/>
          <w:sz w:val="18"/>
          <w:szCs w:val="18"/>
        </w:rPr>
        <w:t>如果仍不足以弥补乙方被国际卡组织及收单机构加罚拒付超标、欺诈超标</w:t>
      </w:r>
      <w:r>
        <w:rPr>
          <w:rFonts w:hint="eastAsia" w:ascii="微软雅黑" w:hAnsi="微软雅黑" w:cs="微软雅黑"/>
          <w:color w:val="auto"/>
          <w:sz w:val="18"/>
          <w:szCs w:val="18"/>
          <w:lang w:val="en-US" w:eastAsia="zh-CN"/>
        </w:rPr>
        <w:t>罚款</w:t>
      </w:r>
      <w:r>
        <w:rPr>
          <w:rFonts w:hint="eastAsia" w:ascii="微软雅黑" w:hAnsi="微软雅黑" w:eastAsia="微软雅黑" w:cs="微软雅黑"/>
          <w:color w:val="auto"/>
          <w:sz w:val="18"/>
          <w:szCs w:val="18"/>
        </w:rPr>
        <w:t>的部分，由甲方承担，但乙方计算的分摊比例需公平透明</w:t>
      </w:r>
      <w:r>
        <w:rPr>
          <w:rFonts w:hint="eastAsia" w:ascii="微软雅黑" w:hAnsi="微软雅黑" w:cs="微软雅黑"/>
          <w:color w:val="auto"/>
          <w:sz w:val="18"/>
          <w:szCs w:val="18"/>
          <w:lang w:val="en-US" w:eastAsia="zh-CN"/>
        </w:rPr>
        <w:t>并提供国际卡组织及收单机构罚款的证据</w:t>
      </w:r>
      <w:r>
        <w:rPr>
          <w:rFonts w:hint="eastAsia" w:ascii="微软雅黑" w:hAnsi="微软雅黑" w:eastAsia="微软雅黑" w:cs="微软雅黑"/>
          <w:color w:val="auto"/>
          <w:sz w:val="18"/>
          <w:szCs w:val="18"/>
        </w:rPr>
        <w:t>。</w:t>
      </w:r>
    </w:p>
    <w:p w14:paraId="59253A73">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对于涉及赌博、</w:t>
      </w:r>
      <w:r>
        <w:rPr>
          <w:rFonts w:hint="eastAsia" w:ascii="微软雅黑" w:hAnsi="微软雅黑" w:cs="微软雅黑"/>
          <w:color w:val="auto"/>
          <w:sz w:val="18"/>
          <w:szCs w:val="18"/>
          <w:lang w:val="en-US" w:eastAsia="zh-CN"/>
        </w:rPr>
        <w:t>未经授权的</w:t>
      </w:r>
      <w:r>
        <w:rPr>
          <w:rFonts w:hint="eastAsia" w:ascii="微软雅黑" w:hAnsi="微软雅黑" w:eastAsia="微软雅黑" w:cs="微软雅黑"/>
          <w:color w:val="auto"/>
          <w:sz w:val="18"/>
          <w:szCs w:val="18"/>
        </w:rPr>
        <w:t>药品</w:t>
      </w:r>
      <w:r>
        <w:rPr>
          <w:rFonts w:hint="eastAsia" w:ascii="微软雅黑" w:hAnsi="微软雅黑" w:cs="微软雅黑"/>
          <w:color w:val="auto"/>
          <w:sz w:val="18"/>
          <w:szCs w:val="18"/>
          <w:lang w:eastAsia="zh-CN"/>
        </w:rPr>
        <w:t>、</w:t>
      </w:r>
      <w:r>
        <w:rPr>
          <w:rFonts w:hint="eastAsia" w:ascii="微软雅黑" w:hAnsi="微软雅黑" w:cs="微软雅黑"/>
          <w:color w:val="auto"/>
          <w:sz w:val="18"/>
          <w:szCs w:val="18"/>
          <w:lang w:val="en-US" w:eastAsia="zh-CN"/>
        </w:rPr>
        <w:t>毒品</w:t>
      </w:r>
      <w:r>
        <w:rPr>
          <w:rFonts w:hint="eastAsia" w:ascii="微软雅黑" w:hAnsi="微软雅黑" w:eastAsia="微软雅黑" w:cs="微软雅黑"/>
          <w:color w:val="auto"/>
          <w:sz w:val="18"/>
          <w:szCs w:val="18"/>
        </w:rPr>
        <w:t>、色情</w:t>
      </w:r>
      <w:r>
        <w:rPr>
          <w:rFonts w:hint="eastAsia" w:ascii="微软雅黑" w:hAnsi="微软雅黑" w:cs="微软雅黑"/>
          <w:color w:val="auto"/>
          <w:sz w:val="18"/>
          <w:szCs w:val="18"/>
          <w:lang w:val="en-US" w:eastAsia="zh-CN"/>
        </w:rPr>
        <w:t>淫秽</w:t>
      </w:r>
      <w:r>
        <w:rPr>
          <w:rFonts w:hint="eastAsia" w:ascii="微软雅黑" w:hAnsi="微软雅黑" w:eastAsia="微软雅黑" w:cs="微软雅黑"/>
          <w:color w:val="auto"/>
          <w:sz w:val="18"/>
          <w:szCs w:val="18"/>
        </w:rPr>
        <w:t>等违规交易，</w:t>
      </w:r>
      <w:r>
        <w:rPr>
          <w:rFonts w:hint="eastAsia" w:ascii="微软雅黑" w:hAnsi="微软雅黑" w:cs="微软雅黑"/>
          <w:color w:val="auto"/>
          <w:sz w:val="18"/>
          <w:szCs w:val="18"/>
          <w:lang w:val="en-US" w:eastAsia="zh-CN"/>
        </w:rPr>
        <w:t>每</w:t>
      </w:r>
      <w:r>
        <w:rPr>
          <w:rFonts w:hint="eastAsia" w:ascii="微软雅黑" w:hAnsi="微软雅黑" w:eastAsia="微软雅黑" w:cs="微软雅黑"/>
          <w:color w:val="auto"/>
          <w:sz w:val="18"/>
          <w:szCs w:val="18"/>
        </w:rPr>
        <w:t>出现一笔，</w:t>
      </w:r>
      <w:r>
        <w:rPr>
          <w:rFonts w:hint="eastAsia" w:ascii="微软雅黑" w:hAnsi="微软雅黑" w:cs="微软雅黑"/>
          <w:color w:val="auto"/>
          <w:sz w:val="18"/>
          <w:szCs w:val="18"/>
          <w:lang w:val="en-US" w:eastAsia="zh-CN"/>
        </w:rPr>
        <w:t>处以两万五千</w:t>
      </w:r>
      <w:r>
        <w:rPr>
          <w:rFonts w:hint="eastAsia" w:ascii="微软雅黑" w:hAnsi="微软雅黑" w:eastAsia="微软雅黑" w:cs="微软雅黑"/>
          <w:color w:val="auto"/>
          <w:sz w:val="18"/>
          <w:szCs w:val="18"/>
        </w:rPr>
        <w:t>美元</w:t>
      </w:r>
      <w:r>
        <w:rPr>
          <w:rFonts w:hint="eastAsia" w:ascii="微软雅黑" w:hAnsi="微软雅黑" w:cs="微软雅黑"/>
          <w:color w:val="auto"/>
          <w:sz w:val="18"/>
          <w:szCs w:val="18"/>
          <w:lang w:val="en-US" w:eastAsia="zh-CN"/>
        </w:rPr>
        <w:t>罚款</w:t>
      </w:r>
      <w:r>
        <w:rPr>
          <w:rFonts w:hint="eastAsia" w:ascii="微软雅黑" w:hAnsi="微软雅黑" w:eastAsia="微软雅黑" w:cs="微软雅黑"/>
          <w:color w:val="auto"/>
          <w:sz w:val="18"/>
          <w:szCs w:val="18"/>
        </w:rPr>
        <w:t>，同时采取</w:t>
      </w:r>
      <w:r>
        <w:rPr>
          <w:rFonts w:hint="eastAsia" w:ascii="微软雅黑" w:hAnsi="微软雅黑" w:cs="微软雅黑"/>
          <w:color w:val="auto"/>
          <w:sz w:val="18"/>
          <w:szCs w:val="18"/>
          <w:lang w:val="en-US" w:eastAsia="zh-CN"/>
        </w:rPr>
        <w:t>包括但不限于</w:t>
      </w:r>
      <w:r>
        <w:rPr>
          <w:rFonts w:hint="eastAsia" w:ascii="微软雅黑" w:hAnsi="微软雅黑" w:eastAsia="微软雅黑" w:cs="微软雅黑"/>
          <w:color w:val="auto"/>
          <w:sz w:val="18"/>
          <w:szCs w:val="18"/>
        </w:rPr>
        <w:t>限制出款、</w:t>
      </w:r>
      <w:r>
        <w:rPr>
          <w:rFonts w:hint="eastAsia" w:ascii="微软雅黑" w:hAnsi="微软雅黑" w:cs="微软雅黑"/>
          <w:color w:val="auto"/>
          <w:sz w:val="18"/>
          <w:szCs w:val="18"/>
          <w:lang w:val="en-US" w:eastAsia="zh-CN"/>
        </w:rPr>
        <w:t>延迟结算、</w:t>
      </w:r>
      <w:r>
        <w:rPr>
          <w:rFonts w:hint="eastAsia" w:ascii="微软雅黑" w:hAnsi="微软雅黑" w:eastAsia="微软雅黑" w:cs="微软雅黑"/>
          <w:color w:val="auto"/>
          <w:sz w:val="18"/>
          <w:szCs w:val="18"/>
        </w:rPr>
        <w:t>关闭通道、解除协议等措施</w:t>
      </w:r>
      <w:r>
        <w:rPr>
          <w:rFonts w:hint="eastAsia" w:ascii="微软雅黑" w:hAnsi="微软雅黑" w:cs="微软雅黑"/>
          <w:color w:val="auto"/>
          <w:sz w:val="18"/>
          <w:szCs w:val="18"/>
          <w:lang w:eastAsia="zh-CN"/>
        </w:rPr>
        <w:t>；</w:t>
      </w:r>
      <w:r>
        <w:rPr>
          <w:rFonts w:hint="eastAsia" w:ascii="微软雅黑" w:hAnsi="微软雅黑" w:cs="微软雅黑"/>
          <w:color w:val="auto"/>
          <w:sz w:val="18"/>
          <w:szCs w:val="18"/>
          <w:lang w:val="en-US" w:eastAsia="zh-CN"/>
        </w:rPr>
        <w:t>若被卡组织发现，</w:t>
      </w:r>
      <w:r>
        <w:rPr>
          <w:rFonts w:hint="eastAsia" w:ascii="微软雅黑" w:hAnsi="微软雅黑" w:eastAsia="微软雅黑" w:cs="微软雅黑"/>
          <w:color w:val="auto"/>
          <w:sz w:val="18"/>
          <w:szCs w:val="18"/>
        </w:rPr>
        <w:t>国际卡组织或乙方上游收单机构</w:t>
      </w:r>
      <w:r>
        <w:rPr>
          <w:rFonts w:hint="eastAsia" w:ascii="微软雅黑" w:hAnsi="微软雅黑" w:cs="微软雅黑"/>
          <w:color w:val="auto"/>
          <w:sz w:val="18"/>
          <w:szCs w:val="18"/>
          <w:lang w:val="en-US" w:eastAsia="zh-CN"/>
        </w:rPr>
        <w:t>对该交易或商户的罚款全部由甲方承担并加罚2.5万美元。</w:t>
      </w:r>
      <w:r>
        <w:rPr>
          <w:rFonts w:hint="eastAsia" w:ascii="微软雅黑" w:hAnsi="微软雅黑" w:eastAsia="微软雅黑" w:cs="微软雅黑"/>
          <w:color w:val="auto"/>
          <w:sz w:val="18"/>
          <w:szCs w:val="18"/>
        </w:rPr>
        <w:t>该违规交易可以由乙方通过风控监测手段发现，也可以由卡组织、乙方</w:t>
      </w:r>
      <w:r>
        <w:rPr>
          <w:rFonts w:hint="eastAsia" w:ascii="微软雅黑" w:hAnsi="微软雅黑" w:cs="微软雅黑"/>
          <w:color w:val="auto"/>
          <w:sz w:val="18"/>
          <w:szCs w:val="18"/>
          <w:lang w:val="en-US" w:eastAsia="zh-CN"/>
        </w:rPr>
        <w:t>合作的</w:t>
      </w:r>
      <w:r>
        <w:rPr>
          <w:rFonts w:hint="eastAsia" w:ascii="微软雅黑" w:hAnsi="微软雅黑" w:eastAsia="微软雅黑" w:cs="微软雅黑"/>
          <w:color w:val="auto"/>
          <w:sz w:val="18"/>
          <w:szCs w:val="18"/>
        </w:rPr>
        <w:t>收单机构发现报出。</w:t>
      </w:r>
    </w:p>
    <w:p w14:paraId="15835B5C">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对于涉及侵犯知识产权的违规交易，若出现一笔，</w:t>
      </w:r>
      <w:r>
        <w:rPr>
          <w:rFonts w:hint="eastAsia" w:ascii="微软雅黑" w:hAnsi="微软雅黑" w:cs="微软雅黑"/>
          <w:color w:val="auto"/>
          <w:sz w:val="18"/>
          <w:szCs w:val="18"/>
          <w:lang w:val="en-US" w:eastAsia="zh-CN"/>
        </w:rPr>
        <w:t>乙方将通知甲方限期整改，并视整改情况有权</w:t>
      </w:r>
      <w:r>
        <w:rPr>
          <w:rFonts w:hint="eastAsia" w:ascii="微软雅黑" w:hAnsi="微软雅黑" w:cs="微软雅黑"/>
          <w:color w:val="auto"/>
          <w:sz w:val="18"/>
          <w:szCs w:val="18"/>
        </w:rPr>
        <w:t>采取包括但不限于限制出款、延迟结算、关闭通道、解除协议等措施</w:t>
      </w:r>
      <w:r>
        <w:rPr>
          <w:rFonts w:hint="eastAsia" w:ascii="微软雅黑" w:hAnsi="微软雅黑" w:cs="微软雅黑"/>
          <w:color w:val="auto"/>
          <w:sz w:val="18"/>
          <w:szCs w:val="18"/>
          <w:lang w:eastAsia="zh-CN"/>
        </w:rPr>
        <w:t>；</w:t>
      </w:r>
      <w:r>
        <w:rPr>
          <w:rFonts w:hint="eastAsia" w:ascii="微软雅黑" w:hAnsi="微软雅黑" w:eastAsia="微软雅黑" w:cs="微软雅黑"/>
          <w:color w:val="auto"/>
          <w:sz w:val="18"/>
          <w:szCs w:val="18"/>
        </w:rPr>
        <w:t>若</w:t>
      </w:r>
      <w:r>
        <w:rPr>
          <w:rFonts w:hint="eastAsia" w:ascii="微软雅黑" w:hAnsi="微软雅黑" w:cs="微软雅黑"/>
          <w:color w:val="auto"/>
          <w:sz w:val="18"/>
          <w:szCs w:val="18"/>
          <w:lang w:val="en-US" w:eastAsia="zh-CN"/>
        </w:rPr>
        <w:t>被卡组织发现，</w:t>
      </w:r>
      <w:r>
        <w:rPr>
          <w:rFonts w:hint="eastAsia" w:ascii="微软雅黑" w:hAnsi="微软雅黑" w:eastAsia="微软雅黑" w:cs="微软雅黑"/>
          <w:color w:val="auto"/>
          <w:sz w:val="18"/>
          <w:szCs w:val="18"/>
        </w:rPr>
        <w:t>国际卡组织或乙方上游收单机构</w:t>
      </w:r>
      <w:r>
        <w:rPr>
          <w:rFonts w:hint="eastAsia" w:ascii="微软雅黑" w:hAnsi="微软雅黑" w:eastAsia="微软雅黑" w:cs="微软雅黑"/>
          <w:color w:val="auto"/>
          <w:sz w:val="18"/>
          <w:szCs w:val="18"/>
          <w:lang w:val="en-US" w:eastAsia="zh-CN"/>
        </w:rPr>
        <w:t>对该交易</w:t>
      </w:r>
      <w:r>
        <w:rPr>
          <w:rFonts w:hint="eastAsia" w:ascii="微软雅黑" w:hAnsi="微软雅黑" w:cs="微软雅黑"/>
          <w:color w:val="auto"/>
          <w:sz w:val="18"/>
          <w:szCs w:val="18"/>
          <w:lang w:val="en-US" w:eastAsia="zh-CN"/>
        </w:rPr>
        <w:t>或商户的罚款全部</w:t>
      </w:r>
      <w:r>
        <w:rPr>
          <w:rFonts w:hint="eastAsia" w:ascii="微软雅黑" w:hAnsi="微软雅黑" w:eastAsia="微软雅黑" w:cs="微软雅黑"/>
          <w:color w:val="auto"/>
          <w:sz w:val="18"/>
          <w:szCs w:val="18"/>
          <w:lang w:val="en-US" w:eastAsia="zh-CN"/>
        </w:rPr>
        <w:t>由甲方承担</w:t>
      </w:r>
      <w:r>
        <w:rPr>
          <w:rFonts w:hint="eastAsia" w:ascii="微软雅黑" w:hAnsi="微软雅黑" w:cs="微软雅黑"/>
          <w:color w:val="auto"/>
          <w:sz w:val="18"/>
          <w:szCs w:val="18"/>
          <w:lang w:val="en-US" w:eastAsia="zh-CN"/>
        </w:rPr>
        <w:t>并加罚2.5万美元</w:t>
      </w:r>
      <w:r>
        <w:rPr>
          <w:rFonts w:hint="eastAsia" w:ascii="微软雅黑" w:hAnsi="微软雅黑" w:eastAsia="微软雅黑" w:cs="微软雅黑"/>
          <w:color w:val="auto"/>
          <w:sz w:val="18"/>
          <w:szCs w:val="18"/>
          <w:lang w:val="en-US" w:eastAsia="zh-CN"/>
        </w:rPr>
        <w:t>。</w:t>
      </w:r>
      <w:r>
        <w:rPr>
          <w:rFonts w:hint="eastAsia" w:ascii="微软雅黑" w:hAnsi="微软雅黑" w:eastAsia="微软雅黑" w:cs="微软雅黑"/>
          <w:color w:val="auto"/>
          <w:sz w:val="18"/>
          <w:szCs w:val="18"/>
        </w:rPr>
        <w:t>该违规交易可以由乙方通过风控监测手段发现，也可以由卡组织、乙方收单机构发现报出。</w:t>
      </w:r>
    </w:p>
    <w:p w14:paraId="281CE7F5">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对于以上情形的罚款及其他相关费用，</w:t>
      </w:r>
      <w:r>
        <w:rPr>
          <w:rFonts w:hint="eastAsia" w:ascii="微软雅黑" w:hAnsi="微软雅黑" w:cs="微软雅黑"/>
          <w:color w:val="auto"/>
          <w:sz w:val="18"/>
          <w:szCs w:val="18"/>
          <w:lang w:val="en-US" w:eastAsia="zh-CN"/>
        </w:rPr>
        <w:t>双方</w:t>
      </w:r>
      <w:r>
        <w:rPr>
          <w:rFonts w:hint="eastAsia" w:ascii="微软雅黑" w:hAnsi="微软雅黑" w:eastAsia="微软雅黑" w:cs="微软雅黑"/>
          <w:color w:val="auto"/>
          <w:sz w:val="18"/>
          <w:szCs w:val="18"/>
        </w:rPr>
        <w:t>同意乙方从甲方待结算款中扣减或甲方在接到乙方通知后三个工作日内汇款至乙方银行账户。</w:t>
      </w:r>
    </w:p>
    <w:p w14:paraId="05C5557D">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cs="微软雅黑"/>
          <w:color w:val="auto"/>
          <w:sz w:val="18"/>
          <w:szCs w:val="18"/>
          <w:lang w:val="en-US" w:eastAsia="zh-CN"/>
        </w:rPr>
        <w:t>双方</w:t>
      </w:r>
      <w:r>
        <w:rPr>
          <w:rFonts w:hint="eastAsia" w:ascii="微软雅黑" w:hAnsi="微软雅黑" w:eastAsia="微软雅黑" w:cs="微软雅黑"/>
          <w:color w:val="auto"/>
          <w:sz w:val="18"/>
          <w:szCs w:val="18"/>
        </w:rPr>
        <w:t>认可乙方在暂停或解除与甲方合作之后依旧享有以上</w:t>
      </w:r>
      <w:r>
        <w:rPr>
          <w:rFonts w:hint="eastAsia" w:ascii="微软雅黑" w:hAnsi="微软雅黑" w:cs="微软雅黑"/>
          <w:color w:val="auto"/>
          <w:sz w:val="18"/>
          <w:szCs w:val="18"/>
          <w:lang w:val="en-US" w:eastAsia="zh-CN"/>
        </w:rPr>
        <w:t>罚款及</w:t>
      </w:r>
      <w:r>
        <w:rPr>
          <w:rFonts w:hint="eastAsia" w:ascii="微软雅黑" w:hAnsi="微软雅黑" w:eastAsia="微软雅黑" w:cs="微软雅黑"/>
          <w:color w:val="auto"/>
          <w:sz w:val="18"/>
          <w:szCs w:val="18"/>
        </w:rPr>
        <w:t>费用的追索权。</w:t>
      </w:r>
    </w:p>
    <w:p w14:paraId="202C802E">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cs="微软雅黑"/>
          <w:color w:val="auto"/>
          <w:sz w:val="18"/>
          <w:szCs w:val="18"/>
          <w:lang w:val="en-US" w:eastAsia="zh-CN"/>
        </w:rPr>
        <w:t>乙方在认定甲方出现本协议项下违规或违约行为时应提供证据，双方同意并认可乙方可以提供以下任一证据作为认定标准：</w:t>
      </w:r>
    </w:p>
    <w:p w14:paraId="14CC93AD">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lang w:val="en-US" w:eastAsia="zh-CN"/>
        </w:rPr>
      </w:pPr>
      <w:r>
        <w:rPr>
          <w:rFonts w:hint="eastAsia" w:ascii="微软雅黑" w:hAnsi="微软雅黑" w:eastAsia="微软雅黑" w:cs="微软雅黑"/>
          <w:color w:val="auto"/>
          <w:sz w:val="18"/>
          <w:szCs w:val="18"/>
          <w:lang w:val="en-US" w:eastAsia="zh-CN"/>
        </w:rPr>
        <w:t>乙方或</w:t>
      </w:r>
      <w:r>
        <w:rPr>
          <w:rFonts w:hint="eastAsia" w:ascii="微软雅黑" w:hAnsi="微软雅黑" w:cs="微软雅黑"/>
          <w:color w:val="auto"/>
          <w:sz w:val="18"/>
          <w:szCs w:val="18"/>
          <w:lang w:val="en-US" w:eastAsia="zh-CN"/>
        </w:rPr>
        <w:t>其</w:t>
      </w:r>
      <w:r>
        <w:rPr>
          <w:rFonts w:hint="eastAsia" w:ascii="微软雅黑" w:hAnsi="微软雅黑" w:eastAsia="微软雅黑" w:cs="微软雅黑"/>
          <w:color w:val="auto"/>
          <w:sz w:val="18"/>
          <w:szCs w:val="18"/>
          <w:lang w:val="en-US" w:eastAsia="zh-CN"/>
        </w:rPr>
        <w:t>合作的收单银行或收单金融机构的风控</w:t>
      </w:r>
      <w:r>
        <w:rPr>
          <w:rFonts w:hint="eastAsia" w:ascii="微软雅黑" w:hAnsi="微软雅黑" w:cs="微软雅黑"/>
          <w:color w:val="auto"/>
          <w:sz w:val="18"/>
          <w:szCs w:val="18"/>
          <w:lang w:val="en-US" w:eastAsia="zh-CN"/>
        </w:rPr>
        <w:t>部门</w:t>
      </w:r>
      <w:r>
        <w:rPr>
          <w:rFonts w:hint="eastAsia" w:ascii="微软雅黑" w:hAnsi="微软雅黑" w:eastAsia="微软雅黑" w:cs="微软雅黑"/>
          <w:color w:val="auto"/>
          <w:sz w:val="18"/>
          <w:szCs w:val="18"/>
          <w:lang w:val="en-US" w:eastAsia="zh-CN"/>
        </w:rPr>
        <w:t>人员</w:t>
      </w:r>
      <w:r>
        <w:rPr>
          <w:rFonts w:hint="eastAsia" w:ascii="微软雅黑" w:hAnsi="微软雅黑" w:cs="微软雅黑"/>
          <w:color w:val="auto"/>
          <w:sz w:val="18"/>
          <w:szCs w:val="18"/>
          <w:lang w:val="en-US" w:eastAsia="zh-CN"/>
        </w:rPr>
        <w:t>在合规监测时或</w:t>
      </w:r>
      <w:r>
        <w:rPr>
          <w:rFonts w:hint="eastAsia" w:ascii="微软雅黑" w:hAnsi="微软雅黑" w:eastAsia="微软雅黑" w:cs="微软雅黑"/>
          <w:color w:val="auto"/>
          <w:sz w:val="18"/>
          <w:szCs w:val="18"/>
          <w:lang w:val="en-US" w:eastAsia="zh-CN"/>
        </w:rPr>
        <w:t>实际下单时发现</w:t>
      </w:r>
      <w:r>
        <w:rPr>
          <w:rFonts w:hint="eastAsia" w:ascii="微软雅黑" w:hAnsi="微软雅黑" w:cs="微软雅黑"/>
          <w:color w:val="auto"/>
          <w:sz w:val="18"/>
          <w:szCs w:val="18"/>
          <w:lang w:val="en-US" w:eastAsia="zh-CN"/>
        </w:rPr>
        <w:t>，以官方邮件、网站</w:t>
      </w:r>
      <w:r>
        <w:rPr>
          <w:rFonts w:hint="eastAsia" w:ascii="微软雅黑" w:hAnsi="微软雅黑" w:eastAsia="微软雅黑" w:cs="微软雅黑"/>
          <w:color w:val="auto"/>
          <w:sz w:val="18"/>
          <w:szCs w:val="18"/>
          <w:lang w:val="en-US" w:eastAsia="zh-CN"/>
        </w:rPr>
        <w:t>截图</w:t>
      </w:r>
      <w:r>
        <w:rPr>
          <w:rFonts w:hint="eastAsia" w:ascii="微软雅黑" w:hAnsi="微软雅黑" w:cs="微软雅黑"/>
          <w:color w:val="auto"/>
          <w:sz w:val="18"/>
          <w:szCs w:val="18"/>
          <w:lang w:val="en-US" w:eastAsia="zh-CN"/>
        </w:rPr>
        <w:t>、录屏、</w:t>
      </w:r>
      <w:r>
        <w:rPr>
          <w:rFonts w:hint="eastAsia" w:ascii="微软雅黑" w:hAnsi="微软雅黑" w:eastAsia="微软雅黑" w:cs="微软雅黑"/>
          <w:color w:val="auto"/>
          <w:sz w:val="18"/>
          <w:szCs w:val="18"/>
          <w:lang w:val="en-US" w:eastAsia="zh-CN"/>
        </w:rPr>
        <w:t>视频或扫描报告（含电子邮件）的描述作为证据</w:t>
      </w:r>
      <w:r>
        <w:rPr>
          <w:rFonts w:hint="eastAsia" w:ascii="微软雅黑" w:hAnsi="微软雅黑" w:cs="微软雅黑"/>
          <w:color w:val="auto"/>
          <w:sz w:val="18"/>
          <w:szCs w:val="18"/>
          <w:lang w:val="en-US" w:eastAsia="zh-CN"/>
        </w:rPr>
        <w:t>的；</w:t>
      </w:r>
    </w:p>
    <w:p w14:paraId="2BF2E111">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lang w:val="en-US" w:eastAsia="zh-CN"/>
        </w:rPr>
        <w:t>被乙方或</w:t>
      </w:r>
      <w:r>
        <w:rPr>
          <w:rFonts w:hint="eastAsia" w:ascii="微软雅黑" w:hAnsi="微软雅黑" w:cs="微软雅黑"/>
          <w:color w:val="auto"/>
          <w:sz w:val="18"/>
          <w:szCs w:val="18"/>
          <w:lang w:val="en-US" w:eastAsia="zh-CN"/>
        </w:rPr>
        <w:t>其</w:t>
      </w:r>
      <w:r>
        <w:rPr>
          <w:rFonts w:hint="eastAsia" w:ascii="微软雅黑" w:hAnsi="微软雅黑" w:eastAsia="微软雅黑" w:cs="微软雅黑"/>
          <w:color w:val="auto"/>
          <w:sz w:val="18"/>
          <w:szCs w:val="18"/>
          <w:lang w:val="en-US" w:eastAsia="zh-CN"/>
        </w:rPr>
        <w:t>合作的收单银行或收单金融机构使用的风险</w:t>
      </w:r>
      <w:r>
        <w:rPr>
          <w:rFonts w:hint="eastAsia" w:ascii="微软雅黑" w:hAnsi="微软雅黑" w:cs="微软雅黑"/>
          <w:color w:val="auto"/>
          <w:sz w:val="18"/>
          <w:szCs w:val="18"/>
          <w:lang w:val="en-US" w:eastAsia="zh-CN"/>
        </w:rPr>
        <w:t>识别、监测</w:t>
      </w:r>
      <w:r>
        <w:rPr>
          <w:rFonts w:hint="eastAsia" w:ascii="微软雅黑" w:hAnsi="微软雅黑" w:eastAsia="微软雅黑" w:cs="微软雅黑"/>
          <w:color w:val="auto"/>
          <w:sz w:val="18"/>
          <w:szCs w:val="18"/>
          <w:lang w:val="en-US" w:eastAsia="zh-CN"/>
        </w:rPr>
        <w:t>工具</w:t>
      </w:r>
      <w:r>
        <w:rPr>
          <w:rFonts w:hint="eastAsia" w:ascii="微软雅黑" w:hAnsi="微软雅黑" w:cs="微软雅黑"/>
          <w:color w:val="auto"/>
          <w:sz w:val="18"/>
          <w:szCs w:val="18"/>
          <w:lang w:val="en-US" w:eastAsia="zh-CN"/>
        </w:rPr>
        <w:t>包括但不限于Austreme SiteInspect, Austreme Transaction Laundering Detection, G2 Persistent Merchant Monitoring service, G2 TLD service, G2 Global Onboarding report, LSEG World-Check One，Lexis Nexis Bridger Insight Service或</w:t>
      </w:r>
      <w:r>
        <w:rPr>
          <w:rFonts w:hint="eastAsia" w:ascii="微软雅黑" w:hAnsi="微软雅黑" w:eastAsia="微软雅黑" w:cs="微软雅黑"/>
          <w:color w:val="auto"/>
          <w:sz w:val="18"/>
          <w:szCs w:val="18"/>
          <w:lang w:val="en-US" w:eastAsia="zh-CN"/>
        </w:rPr>
        <w:t>类似风险扫描工具发现，以官方邮件、网站截图、录屏</w:t>
      </w:r>
      <w:r>
        <w:rPr>
          <w:rFonts w:hint="eastAsia" w:ascii="微软雅黑" w:hAnsi="微软雅黑" w:cs="微软雅黑"/>
          <w:color w:val="auto"/>
          <w:sz w:val="18"/>
          <w:szCs w:val="18"/>
          <w:lang w:val="en-US" w:eastAsia="zh-CN"/>
        </w:rPr>
        <w:t>、</w:t>
      </w:r>
      <w:r>
        <w:rPr>
          <w:rFonts w:hint="eastAsia" w:ascii="微软雅黑" w:hAnsi="微软雅黑" w:eastAsia="微软雅黑" w:cs="微软雅黑"/>
          <w:color w:val="auto"/>
          <w:sz w:val="18"/>
          <w:szCs w:val="18"/>
          <w:lang w:val="en-US" w:eastAsia="zh-CN"/>
        </w:rPr>
        <w:t>视频</w:t>
      </w:r>
      <w:r>
        <w:rPr>
          <w:rFonts w:hint="eastAsia" w:ascii="微软雅黑" w:hAnsi="微软雅黑" w:cs="微软雅黑"/>
          <w:color w:val="auto"/>
          <w:sz w:val="18"/>
          <w:szCs w:val="18"/>
          <w:lang w:val="en-US" w:eastAsia="zh-CN"/>
        </w:rPr>
        <w:t>或</w:t>
      </w:r>
      <w:r>
        <w:rPr>
          <w:rFonts w:hint="eastAsia" w:ascii="微软雅黑" w:hAnsi="微软雅黑" w:eastAsia="微软雅黑" w:cs="微软雅黑"/>
          <w:color w:val="auto"/>
          <w:sz w:val="18"/>
          <w:szCs w:val="18"/>
          <w:lang w:val="en-US" w:eastAsia="zh-CN"/>
        </w:rPr>
        <w:t>扫描报告</w:t>
      </w:r>
      <w:r>
        <w:rPr>
          <w:rFonts w:hint="eastAsia" w:ascii="微软雅黑" w:hAnsi="微软雅黑" w:cs="微软雅黑"/>
          <w:color w:val="auto"/>
          <w:sz w:val="18"/>
          <w:szCs w:val="18"/>
          <w:lang w:val="en-US" w:eastAsia="zh-CN"/>
        </w:rPr>
        <w:t>（含电子邮件）</w:t>
      </w:r>
      <w:r>
        <w:rPr>
          <w:rFonts w:hint="eastAsia" w:ascii="微软雅黑" w:hAnsi="微软雅黑" w:eastAsia="微软雅黑" w:cs="微软雅黑"/>
          <w:color w:val="auto"/>
          <w:sz w:val="18"/>
          <w:szCs w:val="18"/>
          <w:lang w:val="en-US" w:eastAsia="zh-CN"/>
        </w:rPr>
        <w:t>的描述</w:t>
      </w:r>
      <w:r>
        <w:rPr>
          <w:rFonts w:hint="eastAsia" w:ascii="微软雅黑" w:hAnsi="微软雅黑" w:cs="微软雅黑"/>
          <w:color w:val="auto"/>
          <w:sz w:val="18"/>
          <w:szCs w:val="18"/>
          <w:lang w:val="en-US" w:eastAsia="zh-CN"/>
        </w:rPr>
        <w:t>作</w:t>
      </w:r>
      <w:r>
        <w:rPr>
          <w:rFonts w:hint="eastAsia" w:ascii="微软雅黑" w:hAnsi="微软雅黑" w:eastAsia="微软雅黑" w:cs="微软雅黑"/>
          <w:color w:val="auto"/>
          <w:sz w:val="18"/>
          <w:szCs w:val="18"/>
          <w:lang w:val="en-US" w:eastAsia="zh-CN"/>
        </w:rPr>
        <w:t>为证据</w:t>
      </w:r>
      <w:r>
        <w:rPr>
          <w:rFonts w:hint="eastAsia" w:ascii="微软雅黑" w:hAnsi="微软雅黑" w:cs="微软雅黑"/>
          <w:color w:val="auto"/>
          <w:sz w:val="18"/>
          <w:szCs w:val="18"/>
          <w:lang w:val="en-US" w:eastAsia="zh-CN"/>
        </w:rPr>
        <w:t>的。</w:t>
      </w:r>
    </w:p>
    <w:p w14:paraId="11A8026C">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cs="微软雅黑"/>
          <w:color w:val="auto"/>
          <w:sz w:val="18"/>
          <w:szCs w:val="18"/>
          <w:lang w:val="en-US" w:eastAsia="zh-CN"/>
        </w:rPr>
        <w:t xml:space="preserve">双方同意上述违规处理费和罚款，由乙方按照以下顺序收取：</w:t>
      </w:r>
    </w:p>
    <w:p w14:paraId="3D0B7222">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从甲方待结算交易款中扣除；</w:t>
      </w:r>
    </w:p>
    <w:p w14:paraId="760F927F">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待结算交易款不足扣除，从甲方保证金中扣除；</w:t>
      </w:r>
    </w:p>
    <w:p w14:paraId="6E4AABBC">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保证金不足扣除的，由甲方汇款至乙方指定银行账户补足。</w:t>
      </w:r>
      <w:r>
        <w:rPr>
          <w:rFonts w:hint="eastAsia" w:ascii="微软雅黑" w:hAnsi="微软雅黑" w:eastAsia="微软雅黑" w:cs="微软雅黑"/>
          <w:color w:val="auto"/>
          <w:sz w:val="18"/>
          <w:szCs w:val="18"/>
          <w:lang w:val="en-US" w:eastAsia="zh-CN"/>
        </w:rPr>
        <w:tab/>
      </w:r>
    </w:p>
    <w:p w14:paraId="139287E3">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乙方向甲方收取罚款、代垫款项后，向甲方提供符合规定的收款</w:t>
      </w:r>
      <w:r>
        <w:rPr>
          <w:rFonts w:hint="eastAsia" w:ascii="微软雅黑" w:hAnsi="微软雅黑" w:cs="微软雅黑"/>
          <w:color w:val="auto"/>
          <w:sz w:val="18"/>
          <w:szCs w:val="18"/>
          <w:lang w:val="en-US" w:eastAsia="zh-CN"/>
        </w:rPr>
        <w:t>凭据</w:t>
      </w:r>
      <w:r>
        <w:rPr>
          <w:rFonts w:hint="eastAsia" w:ascii="微软雅黑" w:hAnsi="微软雅黑" w:eastAsia="微软雅黑" w:cs="微软雅黑"/>
          <w:color w:val="auto"/>
          <w:sz w:val="18"/>
          <w:szCs w:val="18"/>
          <w:lang w:eastAsia="zh-CN"/>
        </w:rPr>
        <w:t>。</w:t>
      </w:r>
    </w:p>
    <w:p w14:paraId="1296CD7F">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若</w:t>
      </w:r>
      <w:r>
        <w:rPr>
          <w:rFonts w:hint="eastAsia" w:ascii="微软雅黑" w:hAnsi="微软雅黑" w:cs="微软雅黑"/>
          <w:color w:val="auto"/>
          <w:sz w:val="18"/>
          <w:szCs w:val="18"/>
          <w:lang w:val="en-US" w:eastAsia="zh-CN"/>
        </w:rPr>
        <w:t>甲方</w:t>
      </w:r>
      <w:r>
        <w:rPr>
          <w:rFonts w:hint="eastAsia" w:ascii="微软雅黑" w:hAnsi="微软雅黑" w:eastAsia="微软雅黑" w:cs="微软雅黑"/>
          <w:color w:val="auto"/>
          <w:sz w:val="18"/>
          <w:szCs w:val="18"/>
        </w:rPr>
        <w:t>出现以下情形，乙方有权采取其认为合理且必要的下列措施，包括但不限于：</w:t>
      </w:r>
      <w:r>
        <w:rPr>
          <w:rFonts w:hint="eastAsia" w:ascii="微软雅黑" w:hAnsi="微软雅黑" w:eastAsia="微软雅黑" w:cs="微软雅黑"/>
          <w:color w:val="auto"/>
          <w:sz w:val="18"/>
          <w:szCs w:val="18"/>
          <w:lang w:val="en-US" w:eastAsia="zh-CN"/>
        </w:rPr>
        <w:t>1</w:t>
      </w:r>
      <w:r>
        <w:rPr>
          <w:rFonts w:hint="eastAsia" w:ascii="微软雅黑" w:hAnsi="微软雅黑" w:eastAsia="微软雅黑" w:cs="微软雅黑"/>
          <w:color w:val="auto"/>
          <w:sz w:val="18"/>
          <w:szCs w:val="18"/>
        </w:rPr>
        <w:t>）暂停提供服务；2）追加保证金或限制待结算款项出款；3）单方面解除本协议且不承担任何违约责任：</w:t>
      </w:r>
    </w:p>
    <w:p w14:paraId="00A3CBFA">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本协议签订后，乙方发现甲方网站经营内容与进件时申报不符、银行反馈在售商品违反法律法规以及国际卡组织的规定而拒绝开户、终止交易或甲方因改变经营范围导致其不符合乙方商户准入要求的；</w:t>
      </w:r>
    </w:p>
    <w:p w14:paraId="15A16F40">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存在以下情况时：1）拒付、欺诈连续</w:t>
      </w:r>
      <w:r>
        <w:rPr>
          <w:rFonts w:hint="eastAsia" w:ascii="微软雅黑" w:hAnsi="微软雅黑" w:cs="微软雅黑"/>
          <w:color w:val="auto"/>
          <w:sz w:val="18"/>
          <w:szCs w:val="18"/>
          <w:lang w:val="en-US" w:eastAsia="zh-CN"/>
        </w:rPr>
        <w:t>两</w:t>
      </w:r>
      <w:r>
        <w:rPr>
          <w:rFonts w:hint="eastAsia" w:ascii="微软雅黑" w:hAnsi="微软雅黑" w:eastAsia="微软雅黑" w:cs="微软雅黑"/>
          <w:color w:val="auto"/>
          <w:sz w:val="18"/>
          <w:szCs w:val="18"/>
        </w:rPr>
        <w:t>个月超标，经预警后</w:t>
      </w:r>
      <w:r>
        <w:rPr>
          <w:rFonts w:hint="eastAsia" w:ascii="微软雅黑" w:hAnsi="微软雅黑" w:cs="微软雅黑"/>
          <w:color w:val="auto"/>
          <w:sz w:val="18"/>
          <w:szCs w:val="18"/>
          <w:lang w:val="en-US" w:eastAsia="zh-CN"/>
        </w:rPr>
        <w:t>一个月内</w:t>
      </w:r>
      <w:r>
        <w:rPr>
          <w:rFonts w:hint="eastAsia" w:ascii="微软雅黑" w:hAnsi="微软雅黑" w:eastAsia="微软雅黑" w:cs="微软雅黑"/>
          <w:color w:val="auto"/>
          <w:sz w:val="18"/>
          <w:szCs w:val="18"/>
        </w:rPr>
        <w:t>无法改善的；2）</w:t>
      </w:r>
      <w:r>
        <w:rPr>
          <w:rFonts w:hint="eastAsia" w:ascii="微软雅黑" w:hAnsi="微软雅黑" w:cs="微软雅黑"/>
          <w:color w:val="auto"/>
          <w:sz w:val="18"/>
          <w:szCs w:val="18"/>
          <w:lang w:val="en-US" w:eastAsia="zh-CN"/>
        </w:rPr>
        <w:t>拒付、欺诈在一</w:t>
      </w:r>
      <w:r>
        <w:rPr>
          <w:rFonts w:hint="eastAsia" w:ascii="微软雅黑" w:hAnsi="微软雅黑" w:eastAsia="微软雅黑" w:cs="微软雅黑"/>
          <w:color w:val="auto"/>
          <w:sz w:val="18"/>
          <w:szCs w:val="18"/>
          <w:lang w:val="en-US" w:eastAsia="zh-CN"/>
        </w:rPr>
        <w:t>个月内严重超标</w:t>
      </w:r>
      <w:r>
        <w:rPr>
          <w:rFonts w:hint="eastAsia" w:ascii="微软雅黑" w:hAnsi="微软雅黑" w:eastAsia="微软雅黑" w:cs="微软雅黑"/>
          <w:color w:val="auto"/>
          <w:sz w:val="18"/>
          <w:szCs w:val="18"/>
        </w:rPr>
        <w:t>；3）不诚信（如销售假冒伪劣产品）或商业欺诈；4）经营异常、自身财务状况发生重大变化且可能影响本协议正常履行</w:t>
      </w:r>
      <w:r>
        <w:rPr>
          <w:rFonts w:hint="eastAsia" w:ascii="微软雅黑" w:hAnsi="微软雅黑" w:cs="微软雅黑"/>
          <w:color w:val="auto"/>
          <w:sz w:val="18"/>
          <w:szCs w:val="18"/>
          <w:lang w:eastAsia="zh-CN"/>
        </w:rPr>
        <w:t>；</w:t>
      </w:r>
      <w:r>
        <w:rPr>
          <w:rFonts w:hint="eastAsia" w:ascii="微软雅黑" w:hAnsi="微软雅黑" w:cs="微软雅黑"/>
          <w:color w:val="auto"/>
          <w:sz w:val="18"/>
          <w:szCs w:val="18"/>
          <w:lang w:val="en-US" w:eastAsia="zh-CN"/>
        </w:rPr>
        <w:t>5）违反本协议约定的其他情形</w:t>
      </w:r>
      <w:r>
        <w:rPr>
          <w:rFonts w:hint="eastAsia" w:ascii="微软雅黑" w:hAnsi="微软雅黑" w:eastAsia="微软雅黑" w:cs="微软雅黑"/>
          <w:color w:val="auto"/>
          <w:sz w:val="18"/>
          <w:szCs w:val="18"/>
        </w:rPr>
        <w:t>。</w:t>
      </w:r>
    </w:p>
    <w:p w14:paraId="5E09C019">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本协议生效后，乙方提供中国工作时间内相应的技术咨询服务，并在甲方反映问题后的24小时内作出响应</w:t>
      </w:r>
      <w:r>
        <w:rPr>
          <w:rFonts w:hint="eastAsia" w:ascii="微软雅黑" w:hAnsi="微软雅黑" w:cs="微软雅黑"/>
          <w:color w:val="auto"/>
          <w:sz w:val="18"/>
          <w:szCs w:val="18"/>
          <w:lang w:eastAsia="zh-CN"/>
        </w:rPr>
        <w:t>，</w:t>
      </w:r>
      <w:r>
        <w:rPr>
          <w:rFonts w:hint="eastAsia" w:ascii="微软雅黑" w:hAnsi="微软雅黑" w:cs="微软雅黑"/>
          <w:color w:val="auto"/>
          <w:sz w:val="18"/>
          <w:szCs w:val="18"/>
          <w:lang w:val="en-US" w:eastAsia="zh-CN"/>
        </w:rPr>
        <w:t>如果遇有紧急问题（比如影响交易的网络中断），不论是否工作期间，乙方需在收到通知后的2个小时内响应</w:t>
      </w:r>
      <w:r>
        <w:rPr>
          <w:rFonts w:hint="eastAsia" w:ascii="微软雅黑" w:hAnsi="微软雅黑" w:eastAsia="微软雅黑" w:cs="微软雅黑"/>
          <w:color w:val="auto"/>
          <w:sz w:val="18"/>
          <w:szCs w:val="18"/>
        </w:rPr>
        <w:t>。</w:t>
      </w:r>
    </w:p>
    <w:p w14:paraId="6806DE25">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基于乙方为甲方提供本协议约定的服务，甲方同意并授权乙方可以将甲方相关信息披露给乙方的上游合作方、卡组织、监管机构或者为乙方提供服务的其他第三方，乙方使用甲方提供的相关数据仅限于实现本合同目的</w:t>
      </w:r>
      <w:r>
        <w:rPr>
          <w:rFonts w:hint="eastAsia" w:ascii="微软雅黑" w:hAnsi="微软雅黑" w:eastAsia="微软雅黑" w:cs="微软雅黑"/>
          <w:color w:val="auto"/>
          <w:sz w:val="18"/>
          <w:szCs w:val="18"/>
          <w:lang w:eastAsia="zh-CN"/>
        </w:rPr>
        <w:t>，</w:t>
      </w:r>
      <w:r>
        <w:rPr>
          <w:rFonts w:hint="eastAsia" w:ascii="微软雅黑" w:hAnsi="微软雅黑" w:eastAsia="微软雅黑" w:cs="微软雅黑"/>
          <w:color w:val="auto"/>
          <w:sz w:val="18"/>
          <w:szCs w:val="18"/>
          <w:lang w:val="en-US" w:eastAsia="zh-CN"/>
        </w:rPr>
        <w:t>否则需要承担违约责任</w:t>
      </w:r>
      <w:r>
        <w:rPr>
          <w:rFonts w:hint="eastAsia" w:ascii="微软雅黑" w:hAnsi="微软雅黑" w:eastAsia="微软雅黑" w:cs="微软雅黑"/>
          <w:color w:val="auto"/>
          <w:sz w:val="18"/>
          <w:szCs w:val="18"/>
        </w:rPr>
        <w:t>。</w:t>
      </w:r>
    </w:p>
    <w:p w14:paraId="29FD3CC8">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乙方有义务保存好在处理甲方交易过程中获得的相关数据，乙方及其员工任何时候不得泄露甲方交易过程中的敏感信息或数据。</w:t>
      </w:r>
    </w:p>
    <w:p w14:paraId="160DAE06">
      <w:pPr>
        <w:keepNext w:val="0"/>
        <w:keepLines w:val="0"/>
        <w:pageBreakBefore w:val="0"/>
        <w:numPr>
          <w:ilvl w:val="0"/>
          <w:numId w:val="3"/>
        </w:numPr>
        <w:kinsoku/>
        <w:wordWrap/>
        <w:overflowPunct/>
        <w:topLinePunct w:val="0"/>
        <w:autoSpaceDE/>
        <w:autoSpaceDN/>
        <w:bidi w:val="0"/>
        <w:adjustRightInd w:val="0"/>
        <w:snapToGrid/>
        <w:spacing w:before="157" w:beforeLines="50" w:after="157" w:afterLines="50" w:line="360" w:lineRule="auto"/>
        <w:ind w:left="425" w:leftChars="0" w:hanging="425" w:firstLineChars="0"/>
        <w:jc w:val="both"/>
        <w:rPr>
          <w:rFonts w:hint="eastAsia" w:ascii="微软雅黑" w:hAnsi="微软雅黑" w:eastAsia="微软雅黑" w:cs="微软雅黑"/>
          <w:b/>
          <w:color w:val="auto"/>
          <w:sz w:val="18"/>
          <w:szCs w:val="18"/>
        </w:rPr>
      </w:pPr>
      <w:r>
        <w:rPr>
          <w:rFonts w:hint="eastAsia" w:ascii="微软雅黑" w:hAnsi="微软雅黑" w:eastAsia="微软雅黑" w:cs="微软雅黑"/>
          <w:b/>
          <w:color w:val="auto"/>
          <w:sz w:val="18"/>
          <w:szCs w:val="18"/>
        </w:rPr>
        <w:t>保证金</w:t>
      </w:r>
    </w:p>
    <w:p w14:paraId="4D9BCF62">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经双方协商后，选择保证金形式为：  【</w:t>
      </w:r>
      <w:r>
        <w:rPr>
          <w:rFonts w:hint="eastAsia" w:ascii="微软雅黑" w:hAnsi="微软雅黑" w:cs="微软雅黑"/>
          <w:color w:val="auto"/>
          <w:sz w:val="18"/>
          <w:szCs w:val="18"/>
          <w:lang w:val="en-US" w:eastAsia="zh-CN"/>
        </w:rPr>
        <w:t xml:space="preserve">   </w:t>
      </w:r>
      <w:r>
        <w:rPr>
          <w:rFonts w:hint="eastAsia" w:ascii="微软雅黑" w:hAnsi="微软雅黑" w:eastAsia="微软雅黑" w:cs="微软雅黑"/>
          <w:color w:val="auto"/>
          <w:sz w:val="18"/>
          <w:szCs w:val="18"/>
        </w:rPr>
        <w:t>】</w:t>
      </w:r>
      <w:r>
        <w:rPr>
          <w:rFonts w:hint="eastAsia" w:ascii="微软雅黑" w:hAnsi="微软雅黑" w:eastAsia="微软雅黑" w:cs="微软雅黑"/>
          <w:bCs/>
          <w:color w:val="auto"/>
          <w:sz w:val="18"/>
          <w:szCs w:val="18"/>
        </w:rPr>
        <w:t xml:space="preserve"> </w:t>
      </w:r>
      <w:r>
        <w:rPr>
          <w:rFonts w:hint="eastAsia" w:ascii="微软雅黑" w:hAnsi="微软雅黑" w:eastAsia="微软雅黑" w:cs="微软雅黑"/>
          <w:color w:val="auto"/>
          <w:sz w:val="18"/>
          <w:szCs w:val="18"/>
        </w:rPr>
        <w:t xml:space="preserve"> </w:t>
      </w:r>
    </w:p>
    <w:p w14:paraId="39A52BA6">
      <w:pPr>
        <w:pStyle w:val="18"/>
        <w:keepNext w:val="0"/>
        <w:keepLines w:val="0"/>
        <w:pageBreakBefore w:val="0"/>
        <w:numPr>
          <w:ilvl w:val="255"/>
          <w:numId w:val="0"/>
        </w:numPr>
        <w:kinsoku/>
        <w:wordWrap/>
        <w:overflowPunct/>
        <w:topLinePunct w:val="0"/>
        <w:autoSpaceDE/>
        <w:autoSpaceDN/>
        <w:bidi w:val="0"/>
        <w:adjustRightInd w:val="0"/>
        <w:snapToGrid/>
        <w:spacing w:before="157" w:beforeLines="50" w:after="157" w:afterLines="50" w:line="360" w:lineRule="auto"/>
        <w:ind w:firstLine="84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A.固定保证金；</w:t>
      </w:r>
    </w:p>
    <w:p w14:paraId="56C18732">
      <w:pPr>
        <w:pStyle w:val="18"/>
        <w:keepNext w:val="0"/>
        <w:keepLines w:val="0"/>
        <w:pageBreakBefore w:val="0"/>
        <w:numPr>
          <w:ilvl w:val="255"/>
          <w:numId w:val="0"/>
        </w:numPr>
        <w:kinsoku/>
        <w:wordWrap/>
        <w:overflowPunct/>
        <w:topLinePunct w:val="0"/>
        <w:autoSpaceDE/>
        <w:autoSpaceDN/>
        <w:bidi w:val="0"/>
        <w:adjustRightInd w:val="0"/>
        <w:snapToGrid/>
        <w:spacing w:before="157" w:beforeLines="50" w:after="157" w:afterLines="50" w:line="360" w:lineRule="auto"/>
        <w:ind w:firstLine="84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 xml:space="preserve">B.循环保证金。 </w:t>
      </w:r>
    </w:p>
    <w:p w14:paraId="369138DE">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 xml:space="preserve">固定保证金：甲方授权乙方在遭受风险损失时自行扣取。当保证金金额低于约定金额时，甲方应在三个工作日内补足相应款项。本协议终止且无任何争议交易的，则乙方在合作终止一百八十天后的三个工作日内将剩余保证金退还给甲方。若本协议终止后的一百八十天内持续发生拒付或者退款等风险交易或争议交易的，乙方有权预留一部分保证金以应对后续的拒付或退款。</w:t>
      </w:r>
    </w:p>
    <w:p w14:paraId="5882C349">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 xml:space="preserve">循环保证金：合作期间，每笔交易成功后，乙方按成功交易额的一定比例扣留保证金，到期后自动释放至商户待结算账户。具体比例和周期由双方另行约定。合作终止后，在循环保证金按期释放至待结算账户后，乙方扣除实际发生的拒付、欺诈、退款等金额后的余额，于最近的结算转账日（遇法定节假日顺延）汇款至甲方。但保证期内持续有拒付或退款，即使释放至待结算账户后，乙方也有权利暂缓结算或预留一部分待结算款以应对后续的拒付或退款。</w:t>
      </w:r>
    </w:p>
    <w:p w14:paraId="0D12CC8A">
      <w:pPr>
        <w:pStyle w:val="18"/>
        <w:numPr>
          <w:ilvl w:val="1"/>
          <w:numId w:val="3"/>
        </w:numPr>
        <w:adjustRightInd w:val="0"/>
        <w:spacing w:before="157" w:after="157" w:afterLines="50"/>
        <w:ind w:left="850" w:hanging="453" w:firstLineChars="0"/>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乙方有权根据甲方交易量的变化以及风险程度的变化与甲方协商修改上述保证金的扣除方式、比例、金额等，双方未达成一致意见的，可在</w:t>
      </w:r>
      <w:r>
        <w:rPr>
          <w:rFonts w:hint="eastAsia" w:ascii="微软雅黑" w:hAnsi="微软雅黑" w:cs="微软雅黑"/>
          <w:color w:val="auto"/>
          <w:sz w:val="18"/>
          <w:szCs w:val="18"/>
          <w:lang w:val="en-US" w:eastAsia="zh-CN"/>
        </w:rPr>
        <w:t>五</w:t>
      </w:r>
      <w:r>
        <w:rPr>
          <w:rFonts w:hint="eastAsia" w:ascii="微软雅黑" w:hAnsi="微软雅黑" w:eastAsia="微软雅黑" w:cs="微软雅黑"/>
          <w:color w:val="auto"/>
          <w:sz w:val="18"/>
          <w:szCs w:val="18"/>
        </w:rPr>
        <w:t>个工作日内解除合作。合作解除后，资金</w:t>
      </w:r>
      <w:r>
        <w:rPr>
          <w:rFonts w:hint="eastAsia" w:ascii="微软雅黑" w:hAnsi="微软雅黑" w:cs="微软雅黑"/>
          <w:color w:val="auto"/>
          <w:sz w:val="18"/>
          <w:szCs w:val="18"/>
          <w:lang w:val="en-US" w:eastAsia="zh-CN"/>
        </w:rPr>
        <w:t>结算</w:t>
      </w:r>
      <w:r>
        <w:rPr>
          <w:rFonts w:hint="eastAsia" w:ascii="微软雅黑" w:hAnsi="微软雅黑" w:eastAsia="微软雅黑" w:cs="微软雅黑"/>
          <w:color w:val="auto"/>
          <w:sz w:val="18"/>
          <w:szCs w:val="18"/>
        </w:rPr>
        <w:t>参照本协议约定终止合作后的资金</w:t>
      </w:r>
      <w:r>
        <w:rPr>
          <w:rFonts w:hint="eastAsia" w:ascii="微软雅黑" w:hAnsi="微软雅黑" w:cs="微软雅黑"/>
          <w:color w:val="auto"/>
          <w:sz w:val="18"/>
          <w:szCs w:val="18"/>
          <w:lang w:val="en-US" w:eastAsia="zh-CN"/>
        </w:rPr>
        <w:t>结算</w:t>
      </w:r>
      <w:r>
        <w:rPr>
          <w:rFonts w:hint="eastAsia" w:ascii="微软雅黑" w:hAnsi="微软雅黑" w:eastAsia="微软雅黑" w:cs="微软雅黑"/>
          <w:color w:val="auto"/>
          <w:sz w:val="18"/>
          <w:szCs w:val="18"/>
        </w:rPr>
        <w:t>约定。</w:t>
      </w:r>
    </w:p>
    <w:p w14:paraId="27DF2BA7">
      <w:pPr>
        <w:keepNext w:val="0"/>
        <w:keepLines w:val="0"/>
        <w:pageBreakBefore w:val="0"/>
        <w:numPr>
          <w:ilvl w:val="0"/>
          <w:numId w:val="3"/>
        </w:numPr>
        <w:kinsoku/>
        <w:wordWrap/>
        <w:overflowPunct/>
        <w:topLinePunct w:val="0"/>
        <w:autoSpaceDE/>
        <w:autoSpaceDN/>
        <w:bidi w:val="0"/>
        <w:adjustRightInd w:val="0"/>
        <w:snapToGrid/>
        <w:spacing w:before="157" w:beforeLines="50" w:after="157" w:afterLines="50" w:line="360" w:lineRule="auto"/>
        <w:ind w:left="425" w:leftChars="0" w:hanging="425" w:firstLineChars="0"/>
        <w:jc w:val="both"/>
        <w:rPr>
          <w:rFonts w:hint="eastAsia" w:ascii="微软雅黑" w:hAnsi="微软雅黑" w:eastAsia="微软雅黑" w:cs="微软雅黑"/>
          <w:b/>
          <w:color w:val="auto"/>
          <w:sz w:val="18"/>
          <w:szCs w:val="18"/>
        </w:rPr>
      </w:pPr>
      <w:r>
        <w:rPr>
          <w:rFonts w:hint="eastAsia" w:ascii="微软雅黑" w:hAnsi="微软雅黑" w:eastAsia="微软雅黑" w:cs="微软雅黑"/>
          <w:b/>
          <w:color w:val="auto"/>
          <w:sz w:val="18"/>
          <w:szCs w:val="18"/>
        </w:rPr>
        <w:t>拒付及订单调查</w:t>
      </w:r>
    </w:p>
    <w:p w14:paraId="517E4AC3">
      <w:pPr>
        <w:pStyle w:val="23"/>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bCs/>
          <w:color w:val="auto"/>
          <w:sz w:val="18"/>
          <w:szCs w:val="18"/>
        </w:rPr>
      </w:pPr>
      <w:r>
        <w:rPr>
          <w:rFonts w:hint="eastAsia" w:ascii="微软雅黑" w:hAnsi="微软雅黑" w:eastAsia="微软雅黑" w:cs="微软雅黑"/>
          <w:bCs/>
          <w:color w:val="auto"/>
          <w:sz w:val="18"/>
          <w:szCs w:val="18"/>
        </w:rPr>
        <w:t>由于甲方拒付严重超标行为导致影响乙方其他正常商户的业务开展，或导致乙方合作的收单机构或卡组织终止了与乙方的合作，或给乙方造成其他重大损失时，乙方有权利</w:t>
      </w:r>
      <w:r>
        <w:rPr>
          <w:rFonts w:hint="eastAsia" w:ascii="微软雅黑" w:hAnsi="微软雅黑" w:eastAsia="微软雅黑" w:cs="微软雅黑"/>
          <w:color w:val="auto"/>
          <w:sz w:val="18"/>
          <w:szCs w:val="18"/>
        </w:rPr>
        <w:t>立即暂停或终止合作，并</w:t>
      </w:r>
      <w:r>
        <w:rPr>
          <w:rFonts w:hint="eastAsia" w:ascii="微软雅黑" w:hAnsi="微软雅黑" w:eastAsia="微软雅黑" w:cs="微软雅黑"/>
          <w:bCs/>
          <w:color w:val="auto"/>
          <w:sz w:val="18"/>
          <w:szCs w:val="18"/>
        </w:rPr>
        <w:t>向甲方索偿其</w:t>
      </w:r>
      <w:r>
        <w:rPr>
          <w:rFonts w:hint="eastAsia" w:ascii="微软雅黑" w:hAnsi="微软雅黑" w:eastAsia="微软雅黑" w:cs="微软雅黑"/>
          <w:color w:val="auto"/>
          <w:sz w:val="18"/>
          <w:szCs w:val="18"/>
        </w:rPr>
        <w:t>造成</w:t>
      </w:r>
      <w:r>
        <w:rPr>
          <w:rFonts w:hint="eastAsia" w:ascii="微软雅黑" w:hAnsi="微软雅黑" w:eastAsia="微软雅黑" w:cs="微软雅黑"/>
          <w:bCs/>
          <w:color w:val="auto"/>
          <w:sz w:val="18"/>
          <w:szCs w:val="18"/>
        </w:rPr>
        <w:t>的</w:t>
      </w:r>
      <w:r>
        <w:rPr>
          <w:rFonts w:hint="eastAsia" w:ascii="微软雅黑" w:hAnsi="微软雅黑" w:eastAsia="微软雅黑" w:cs="微软雅黑"/>
          <w:color w:val="auto"/>
          <w:sz w:val="18"/>
          <w:szCs w:val="18"/>
        </w:rPr>
        <w:t>全部</w:t>
      </w:r>
      <w:r>
        <w:rPr>
          <w:rFonts w:hint="eastAsia" w:ascii="微软雅黑" w:hAnsi="微软雅黑" w:eastAsia="微软雅黑" w:cs="微软雅黑"/>
          <w:bCs/>
          <w:color w:val="auto"/>
          <w:sz w:val="18"/>
          <w:szCs w:val="18"/>
        </w:rPr>
        <w:t>损失。</w:t>
      </w:r>
    </w:p>
    <w:p w14:paraId="2DBD97EA">
      <w:pPr>
        <w:pStyle w:val="23"/>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bCs/>
          <w:color w:val="auto"/>
          <w:sz w:val="18"/>
          <w:szCs w:val="18"/>
        </w:rPr>
      </w:pPr>
      <w:r>
        <w:rPr>
          <w:rFonts w:hint="eastAsia" w:ascii="微软雅黑" w:hAnsi="微软雅黑" w:eastAsia="微软雅黑" w:cs="微软雅黑"/>
          <w:bCs/>
          <w:color w:val="auto"/>
          <w:sz w:val="18"/>
          <w:szCs w:val="18"/>
        </w:rPr>
        <w:t>乙方认为甲方存在高风险、高拒付的情况下，且一个月内甲方没有为降低拒付率采取任何显著优化与提升举措的，乙方有权决定停止服务，直至甲方采取前述措施并经乙方确认拒付表现改善后才可恢复合作，由此产生的损失由甲方自行承担。</w:t>
      </w:r>
    </w:p>
    <w:p w14:paraId="56CF3D5E">
      <w:pPr>
        <w:pStyle w:val="23"/>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bCs/>
          <w:color w:val="auto"/>
          <w:sz w:val="18"/>
          <w:szCs w:val="18"/>
        </w:rPr>
      </w:pPr>
      <w:r>
        <w:rPr>
          <w:rFonts w:hint="eastAsia" w:ascii="微软雅黑" w:hAnsi="微软雅黑" w:eastAsia="微软雅黑" w:cs="微软雅黑"/>
          <w:bCs/>
          <w:color w:val="auto"/>
          <w:sz w:val="18"/>
          <w:szCs w:val="18"/>
        </w:rPr>
        <w:t>甲方通过乙方向卡组织等机构</w:t>
      </w:r>
      <w:r>
        <w:rPr>
          <w:rFonts w:hint="eastAsia" w:ascii="微软雅黑" w:hAnsi="微软雅黑" w:eastAsia="微软雅黑" w:cs="微软雅黑"/>
          <w:color w:val="auto"/>
          <w:sz w:val="18"/>
          <w:szCs w:val="18"/>
        </w:rPr>
        <w:t>提起</w:t>
      </w:r>
      <w:r>
        <w:rPr>
          <w:rFonts w:hint="eastAsia" w:ascii="微软雅黑" w:hAnsi="微软雅黑" w:cs="微软雅黑"/>
          <w:color w:val="auto"/>
          <w:sz w:val="18"/>
          <w:szCs w:val="18"/>
          <w:lang w:val="en-US" w:eastAsia="zh-CN"/>
        </w:rPr>
        <w:t>拒付申诉或预仲裁</w:t>
      </w:r>
      <w:r>
        <w:rPr>
          <w:rFonts w:hint="eastAsia" w:ascii="微软雅黑" w:hAnsi="微软雅黑" w:eastAsia="微软雅黑" w:cs="微软雅黑"/>
          <w:color w:val="auto"/>
          <w:sz w:val="18"/>
          <w:szCs w:val="18"/>
        </w:rPr>
        <w:t>或仲裁，</w:t>
      </w:r>
      <w:r>
        <w:rPr>
          <w:rFonts w:hint="eastAsia" w:ascii="微软雅黑" w:hAnsi="微软雅黑" w:eastAsia="微软雅黑" w:cs="微软雅黑"/>
          <w:bCs/>
          <w:color w:val="auto"/>
          <w:sz w:val="18"/>
          <w:szCs w:val="18"/>
        </w:rPr>
        <w:t>甲方</w:t>
      </w:r>
      <w:r>
        <w:rPr>
          <w:rFonts w:hint="eastAsia" w:ascii="微软雅黑" w:hAnsi="微软雅黑" w:eastAsia="微软雅黑" w:cs="微软雅黑"/>
          <w:color w:val="auto"/>
          <w:sz w:val="18"/>
          <w:szCs w:val="18"/>
        </w:rPr>
        <w:t>须</w:t>
      </w:r>
      <w:r>
        <w:rPr>
          <w:rFonts w:hint="eastAsia" w:ascii="微软雅黑" w:hAnsi="微软雅黑" w:eastAsia="微软雅黑" w:cs="微软雅黑"/>
          <w:bCs/>
          <w:color w:val="auto"/>
          <w:sz w:val="18"/>
          <w:szCs w:val="18"/>
        </w:rPr>
        <w:t>自行承担</w:t>
      </w:r>
      <w:r>
        <w:rPr>
          <w:rFonts w:hint="eastAsia" w:ascii="微软雅黑" w:hAnsi="微软雅黑" w:cs="微软雅黑"/>
          <w:bCs/>
          <w:color w:val="auto"/>
          <w:sz w:val="18"/>
          <w:szCs w:val="18"/>
          <w:lang w:val="en-US" w:eastAsia="zh-CN"/>
        </w:rPr>
        <w:t>申诉、</w:t>
      </w:r>
      <w:r>
        <w:rPr>
          <w:rFonts w:hint="eastAsia" w:ascii="微软雅黑" w:hAnsi="微软雅黑" w:eastAsia="微软雅黑" w:cs="微软雅黑"/>
          <w:color w:val="auto"/>
          <w:sz w:val="18"/>
          <w:szCs w:val="18"/>
        </w:rPr>
        <w:t>仲裁费</w:t>
      </w:r>
      <w:r>
        <w:rPr>
          <w:rFonts w:hint="eastAsia" w:ascii="微软雅黑" w:hAnsi="微软雅黑" w:eastAsia="微软雅黑" w:cs="微软雅黑"/>
          <w:bCs/>
          <w:color w:val="auto"/>
          <w:sz w:val="18"/>
          <w:szCs w:val="18"/>
        </w:rPr>
        <w:t>等费用</w:t>
      </w:r>
      <w:r>
        <w:rPr>
          <w:rFonts w:hint="eastAsia" w:ascii="微软雅黑" w:hAnsi="微软雅黑" w:eastAsia="微软雅黑" w:cs="微软雅黑"/>
          <w:bCs/>
          <w:color w:val="auto"/>
          <w:sz w:val="18"/>
          <w:szCs w:val="18"/>
          <w:lang w:eastAsia="zh-CN"/>
        </w:rPr>
        <w:t>，</w:t>
      </w:r>
      <w:r>
        <w:rPr>
          <w:rFonts w:hint="eastAsia" w:ascii="微软雅黑" w:hAnsi="微软雅黑" w:eastAsia="微软雅黑" w:cs="微软雅黑"/>
          <w:bCs/>
          <w:color w:val="auto"/>
          <w:sz w:val="18"/>
          <w:szCs w:val="18"/>
          <w:lang w:val="en-US" w:eastAsia="zh-CN"/>
        </w:rPr>
        <w:t>乙方需配合甲方提交申诉或仲裁材料，尽量减少甲方损失。</w:t>
      </w:r>
    </w:p>
    <w:p w14:paraId="6F349653">
      <w:pPr>
        <w:keepNext w:val="0"/>
        <w:keepLines w:val="0"/>
        <w:pageBreakBefore w:val="0"/>
        <w:numPr>
          <w:ilvl w:val="0"/>
          <w:numId w:val="3"/>
        </w:numPr>
        <w:kinsoku/>
        <w:wordWrap/>
        <w:overflowPunct/>
        <w:topLinePunct w:val="0"/>
        <w:autoSpaceDE/>
        <w:autoSpaceDN/>
        <w:bidi w:val="0"/>
        <w:adjustRightInd w:val="0"/>
        <w:snapToGrid/>
        <w:spacing w:before="157" w:beforeLines="50" w:after="157" w:afterLines="50" w:line="360" w:lineRule="auto"/>
        <w:ind w:left="425" w:leftChars="0" w:hanging="425" w:firstLineChars="0"/>
        <w:jc w:val="both"/>
        <w:rPr>
          <w:rFonts w:hint="eastAsia" w:ascii="微软雅黑" w:hAnsi="微软雅黑" w:eastAsia="微软雅黑" w:cs="微软雅黑"/>
          <w:b/>
          <w:color w:val="auto"/>
          <w:sz w:val="18"/>
          <w:szCs w:val="18"/>
        </w:rPr>
      </w:pPr>
      <w:r>
        <w:rPr>
          <w:rFonts w:hint="eastAsia" w:ascii="微软雅黑" w:hAnsi="微软雅黑" w:eastAsia="微软雅黑" w:cs="微软雅黑"/>
          <w:b/>
          <w:color w:val="auto"/>
          <w:sz w:val="18"/>
          <w:szCs w:val="18"/>
        </w:rPr>
        <w:t>退款</w:t>
      </w:r>
    </w:p>
    <w:p w14:paraId="5B7E72EF">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若出现缺货、无法按时交货、无法提供服务、客户撤销交易、欺诈拒付高危交易或疑似欺诈拒付高危交易等情形并需做退款处理的情况，按如下方式处理：</w:t>
      </w:r>
    </w:p>
    <w:p w14:paraId="1C37EADA">
      <w:pPr>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甲方按乙方或银行要求，在规定时间内，</w:t>
      </w:r>
      <w:r>
        <w:rPr>
          <w:rFonts w:hint="eastAsia" w:ascii="微软雅黑" w:hAnsi="微软雅黑" w:cs="微软雅黑"/>
          <w:color w:val="auto"/>
          <w:sz w:val="18"/>
          <w:szCs w:val="18"/>
          <w:lang w:val="en-US" w:eastAsia="zh-CN"/>
        </w:rPr>
        <w:t>向消费者发起退款</w:t>
      </w:r>
      <w:r>
        <w:rPr>
          <w:rFonts w:hint="eastAsia" w:ascii="微软雅黑" w:hAnsi="微软雅黑" w:eastAsia="微软雅黑" w:cs="微软雅黑"/>
          <w:color w:val="auto"/>
          <w:sz w:val="18"/>
          <w:szCs w:val="18"/>
        </w:rPr>
        <w:t>；</w:t>
      </w:r>
    </w:p>
    <w:p w14:paraId="1B83C370">
      <w:pPr>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当甲方向乙方提出退款请求时，乙方将对甲方在待结算账户中的资金中进行扣款；待结算账户资金不足的，甲方</w:t>
      </w:r>
      <w:r>
        <w:rPr>
          <w:rFonts w:hint="eastAsia" w:ascii="微软雅黑" w:hAnsi="微软雅黑" w:cs="微软雅黑"/>
          <w:color w:val="auto"/>
          <w:sz w:val="18"/>
          <w:szCs w:val="18"/>
          <w:lang w:val="en-US" w:eastAsia="zh-CN"/>
        </w:rPr>
        <w:t>须充值以完成退款</w:t>
      </w:r>
      <w:r>
        <w:rPr>
          <w:rFonts w:hint="eastAsia" w:ascii="微软雅黑" w:hAnsi="微软雅黑" w:eastAsia="微软雅黑" w:cs="微软雅黑"/>
          <w:color w:val="auto"/>
          <w:sz w:val="18"/>
          <w:szCs w:val="18"/>
        </w:rPr>
        <w:t>，否则乙方有权拒绝退款，并不承担任何责任；</w:t>
      </w:r>
    </w:p>
    <w:p w14:paraId="3A5B886D">
      <w:pPr>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为了防止消费者利用虚假交易、撤销交易等方式套现，甲方不得线下退款（例如向</w:t>
      </w:r>
      <w:r>
        <w:rPr>
          <w:rFonts w:hint="eastAsia" w:ascii="微软雅黑" w:hAnsi="微软雅黑" w:cs="微软雅黑"/>
          <w:color w:val="auto"/>
          <w:sz w:val="18"/>
          <w:szCs w:val="18"/>
          <w:lang w:val="en-US" w:eastAsia="zh-CN"/>
        </w:rPr>
        <w:t>消费者</w:t>
      </w:r>
      <w:r>
        <w:rPr>
          <w:rFonts w:hint="eastAsia" w:ascii="微软雅黑" w:hAnsi="微软雅黑" w:eastAsia="微软雅黑" w:cs="微软雅黑"/>
          <w:color w:val="auto"/>
          <w:sz w:val="18"/>
          <w:szCs w:val="18"/>
        </w:rPr>
        <w:t>其他账户内汇入资金或支付现金等），退款必须原路返还至甲方客户支付时的银行卡中，否则由甲方自行承担责任。</w:t>
      </w:r>
    </w:p>
    <w:p w14:paraId="4D8DF00A">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退款发生时，由于退款时间与交易时间不一致，因国际汇率变动而导致该笔退款产生退款汇兑收益或损失的，均由甲方</w:t>
      </w:r>
      <w:r>
        <w:rPr>
          <w:rFonts w:hint="eastAsia" w:ascii="微软雅黑" w:hAnsi="微软雅黑" w:cs="微软雅黑"/>
          <w:color w:val="auto"/>
          <w:sz w:val="18"/>
          <w:szCs w:val="18"/>
          <w:lang w:val="en-US" w:eastAsia="zh-CN"/>
        </w:rPr>
        <w:t>或</w:t>
      </w:r>
      <w:r>
        <w:rPr>
          <w:rFonts w:hint="eastAsia" w:ascii="微软雅黑" w:hAnsi="微软雅黑" w:eastAsia="微软雅黑" w:cs="微软雅黑"/>
          <w:color w:val="auto"/>
          <w:sz w:val="18"/>
          <w:szCs w:val="18"/>
        </w:rPr>
        <w:t>持卡人自行承担。</w:t>
      </w:r>
    </w:p>
    <w:p w14:paraId="10902A14">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甲方存在以下情况时，乙方有权决定</w:t>
      </w:r>
      <w:r>
        <w:rPr>
          <w:rFonts w:hint="eastAsia" w:ascii="微软雅黑" w:hAnsi="微软雅黑" w:cs="微软雅黑"/>
          <w:color w:val="auto"/>
          <w:sz w:val="18"/>
          <w:szCs w:val="18"/>
          <w:lang w:val="en-US" w:eastAsia="zh-CN"/>
        </w:rPr>
        <w:t>是否需</w:t>
      </w:r>
      <w:r>
        <w:rPr>
          <w:rFonts w:hint="eastAsia" w:ascii="微软雅黑" w:hAnsi="微软雅黑" w:eastAsia="微软雅黑" w:cs="微软雅黑"/>
          <w:color w:val="auto"/>
          <w:sz w:val="18"/>
          <w:szCs w:val="18"/>
        </w:rPr>
        <w:t>主动进行退款操作，以规避拒付风险，</w:t>
      </w:r>
      <w:r>
        <w:rPr>
          <w:rFonts w:hint="eastAsia" w:ascii="微软雅黑" w:hAnsi="微软雅黑" w:cs="微软雅黑"/>
          <w:color w:val="auto"/>
          <w:sz w:val="18"/>
          <w:szCs w:val="18"/>
          <w:lang w:val="en-US" w:eastAsia="zh-CN"/>
        </w:rPr>
        <w:t>如决定主动退款</w:t>
      </w:r>
      <w:r>
        <w:rPr>
          <w:rFonts w:hint="eastAsia" w:ascii="微软雅黑" w:hAnsi="微软雅黑" w:eastAsia="微软雅黑" w:cs="微软雅黑"/>
          <w:color w:val="auto"/>
          <w:sz w:val="18"/>
          <w:szCs w:val="18"/>
        </w:rPr>
        <w:t>乙方有义务提前通知甲方：</w:t>
      </w:r>
    </w:p>
    <w:p w14:paraId="14814E74">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乙方在对交易订单进行风险反欺诈检测并认为交易比较可疑或经专业</w:t>
      </w:r>
      <w:r>
        <w:rPr>
          <w:rFonts w:hint="eastAsia" w:ascii="微软雅黑" w:hAnsi="微软雅黑" w:cs="微软雅黑"/>
          <w:color w:val="auto"/>
          <w:sz w:val="18"/>
          <w:szCs w:val="18"/>
          <w:lang w:val="en-US" w:eastAsia="zh-CN"/>
        </w:rPr>
        <w:t>风控</w:t>
      </w:r>
      <w:r>
        <w:rPr>
          <w:rFonts w:hint="eastAsia" w:ascii="微软雅黑" w:hAnsi="微软雅黑" w:eastAsia="微软雅黑" w:cs="微软雅黑"/>
          <w:color w:val="auto"/>
          <w:sz w:val="18"/>
          <w:szCs w:val="18"/>
        </w:rPr>
        <w:t>机构</w:t>
      </w:r>
      <w:r>
        <w:rPr>
          <w:rFonts w:hint="eastAsia" w:ascii="微软雅黑" w:hAnsi="微软雅黑" w:cs="微软雅黑"/>
          <w:color w:val="auto"/>
          <w:sz w:val="18"/>
          <w:szCs w:val="18"/>
          <w:lang w:val="en-US" w:eastAsia="zh-CN"/>
        </w:rPr>
        <w:t>预警</w:t>
      </w:r>
      <w:r>
        <w:rPr>
          <w:rFonts w:hint="eastAsia" w:ascii="微软雅黑" w:hAnsi="微软雅黑" w:eastAsia="微软雅黑" w:cs="微软雅黑"/>
          <w:color w:val="auto"/>
          <w:sz w:val="18"/>
          <w:szCs w:val="18"/>
        </w:rPr>
        <w:t>拒付高危时要求甲方配合</w:t>
      </w:r>
      <w:r>
        <w:rPr>
          <w:rFonts w:hint="eastAsia" w:ascii="微软雅黑" w:hAnsi="微软雅黑" w:cs="微软雅黑"/>
          <w:color w:val="auto"/>
          <w:sz w:val="18"/>
          <w:szCs w:val="18"/>
          <w:lang w:val="en-US" w:eastAsia="zh-CN"/>
        </w:rPr>
        <w:t>核实买家身份</w:t>
      </w:r>
      <w:r>
        <w:rPr>
          <w:rFonts w:hint="eastAsia" w:ascii="微软雅黑" w:hAnsi="微软雅黑" w:eastAsia="微软雅黑" w:cs="微软雅黑"/>
          <w:color w:val="auto"/>
          <w:sz w:val="18"/>
          <w:szCs w:val="18"/>
        </w:rPr>
        <w:t>或退款时，甲方拒绝配合调查或者未在乙方规定时间内采取合理行动的；</w:t>
      </w:r>
    </w:p>
    <w:p w14:paraId="448D0CCE">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经乙方判断甲方交易存在欺诈、以次充好、货不对板、</w:t>
      </w:r>
      <w:r>
        <w:rPr>
          <w:rFonts w:hint="eastAsia" w:ascii="微软雅黑" w:hAnsi="微软雅黑" w:cs="微软雅黑"/>
          <w:color w:val="auto"/>
          <w:sz w:val="18"/>
          <w:szCs w:val="18"/>
          <w:lang w:val="en-US" w:eastAsia="zh-CN"/>
        </w:rPr>
        <w:t>未</w:t>
      </w:r>
      <w:r>
        <w:rPr>
          <w:rFonts w:hint="eastAsia" w:ascii="微软雅黑" w:hAnsi="微软雅黑" w:eastAsia="微软雅黑" w:cs="微软雅黑"/>
          <w:color w:val="auto"/>
          <w:sz w:val="18"/>
          <w:szCs w:val="18"/>
        </w:rPr>
        <w:t>按时发货、未发货情况时或者不能按时提供服务，经乙方通知甲方进行退款操作后，甲方拒绝退款或者未在乙方规定时间内主动退款的；</w:t>
      </w:r>
    </w:p>
    <w:p w14:paraId="67D1BD6B">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消费者主动提出退货退款时，而乙方没有合理理由拒绝的情形时；</w:t>
      </w:r>
    </w:p>
    <w:p w14:paraId="5E617A1E">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乙方基于自身专业判断认为甲方从事不属于卡组织、收单机构受理范围之内或者违反国际反洗钱、反恐怖融资相关法律法规要求的交易时，经乙方通知甲方进行退款操作后，甲方拒绝退款或者未在乙方规定时间内主动退款的。</w:t>
      </w:r>
    </w:p>
    <w:p w14:paraId="2A8CA78B">
      <w:pPr>
        <w:keepNext w:val="0"/>
        <w:keepLines w:val="0"/>
        <w:pageBreakBefore w:val="0"/>
        <w:numPr>
          <w:ilvl w:val="0"/>
          <w:numId w:val="3"/>
        </w:numPr>
        <w:kinsoku/>
        <w:wordWrap/>
        <w:overflowPunct/>
        <w:topLinePunct w:val="0"/>
        <w:autoSpaceDE/>
        <w:autoSpaceDN/>
        <w:bidi w:val="0"/>
        <w:adjustRightInd w:val="0"/>
        <w:snapToGrid/>
        <w:spacing w:before="157" w:beforeLines="50" w:after="157" w:afterLines="50" w:line="360" w:lineRule="auto"/>
        <w:ind w:left="425" w:leftChars="0" w:hanging="425" w:firstLineChars="0"/>
        <w:jc w:val="both"/>
        <w:rPr>
          <w:rFonts w:hint="eastAsia" w:ascii="微软雅黑" w:hAnsi="微软雅黑" w:eastAsia="微软雅黑" w:cs="微软雅黑"/>
          <w:b/>
          <w:bCs/>
          <w:color w:val="auto"/>
          <w:sz w:val="18"/>
          <w:szCs w:val="18"/>
        </w:rPr>
      </w:pPr>
      <w:r>
        <w:rPr>
          <w:rFonts w:hint="eastAsia" w:ascii="微软雅黑" w:hAnsi="微软雅黑" w:eastAsia="微软雅黑" w:cs="微软雅黑"/>
          <w:b/>
          <w:bCs/>
          <w:color w:val="auto"/>
          <w:sz w:val="18"/>
          <w:szCs w:val="18"/>
        </w:rPr>
        <w:t>结算</w:t>
      </w:r>
    </w:p>
    <w:p w14:paraId="2659044D">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 xml:space="preserve">乙方需按本协议约定按时将资金结算至甲方。</w:t>
      </w:r>
    </w:p>
    <w:p w14:paraId="2F8D3E80">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 xml:space="preserve">甲方应在合理的时间范围内核实乙方每笔结算款项的正确性和完整性。如甲方对乙方结算至其指定账户的款项存在异议，应尽量在交易结束后一个月内提出，最长不得超过六个月。否则，乙方有权利拒绝受理结算金额计算的争议或结算金额重新计算的要求。</w:t>
      </w:r>
    </w:p>
    <w:p w14:paraId="62ABF959">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cs="微软雅黑"/>
          <w:color w:val="auto"/>
          <w:sz w:val="18"/>
          <w:szCs w:val="18"/>
        </w:rPr>
        <w:t>暂缓结算：</w:t>
      </w:r>
      <w:r>
        <w:rPr>
          <w:rFonts w:hint="eastAsia" w:ascii="微软雅黑" w:hAnsi="微软雅黑" w:cs="微软雅黑"/>
          <w:color w:val="auto"/>
          <w:sz w:val="18"/>
          <w:szCs w:val="18"/>
          <w:lang w:val="en-US" w:eastAsia="zh-CN"/>
        </w:rPr>
        <w:t>当乙方按照本协议约定暂缓结算后，将在风险排除时立即恢复结算。</w:t>
      </w:r>
      <w:r>
        <w:rPr>
          <w:rFonts w:hint="eastAsia" w:ascii="微软雅黑" w:hAnsi="微软雅黑" w:cs="微软雅黑"/>
          <w:color w:val="auto"/>
          <w:sz w:val="18"/>
          <w:szCs w:val="18"/>
        </w:rPr>
        <w:t>如果仅是单纯的拒付率较高或退款比例较高</w:t>
      </w:r>
      <w:r>
        <w:rPr>
          <w:rFonts w:hint="eastAsia" w:ascii="微软雅黑" w:hAnsi="微软雅黑" w:cs="微软雅黑"/>
          <w:color w:val="auto"/>
          <w:sz w:val="18"/>
          <w:szCs w:val="18"/>
          <w:lang w:val="en-US" w:eastAsia="zh-CN"/>
        </w:rPr>
        <w:t>且被乙方通知停止服务的</w:t>
      </w:r>
      <w:r>
        <w:rPr>
          <w:rFonts w:hint="eastAsia" w:ascii="微软雅黑" w:hAnsi="微软雅黑" w:cs="微软雅黑"/>
          <w:color w:val="auto"/>
          <w:sz w:val="18"/>
          <w:szCs w:val="18"/>
        </w:rPr>
        <w:t>，一般会在终止交易后满</w:t>
      </w:r>
      <w:r>
        <w:rPr>
          <w:rFonts w:hint="eastAsia" w:ascii="微软雅黑" w:hAnsi="微软雅黑" w:cs="微软雅黑"/>
          <w:color w:val="auto"/>
          <w:sz w:val="18"/>
          <w:szCs w:val="18"/>
          <w:lang w:val="en-US" w:eastAsia="zh-CN"/>
        </w:rPr>
        <w:t>120</w:t>
      </w:r>
      <w:r>
        <w:rPr>
          <w:rFonts w:hint="eastAsia" w:ascii="微软雅黑" w:hAnsi="微软雅黑" w:cs="微软雅黑"/>
          <w:color w:val="auto"/>
          <w:sz w:val="18"/>
          <w:szCs w:val="18"/>
        </w:rPr>
        <w:t>天且</w:t>
      </w:r>
      <w:r>
        <w:rPr>
          <w:rFonts w:hint="eastAsia" w:ascii="微软雅黑" w:hAnsi="微软雅黑" w:cs="微软雅黑"/>
          <w:color w:val="auto"/>
          <w:sz w:val="18"/>
          <w:szCs w:val="18"/>
          <w:lang w:val="en-US" w:eastAsia="zh-CN"/>
        </w:rPr>
        <w:t>30天</w:t>
      </w:r>
      <w:r>
        <w:rPr>
          <w:rFonts w:hint="eastAsia" w:ascii="微软雅黑" w:hAnsi="微软雅黑" w:cs="微软雅黑"/>
          <w:color w:val="auto"/>
          <w:sz w:val="18"/>
          <w:szCs w:val="18"/>
        </w:rPr>
        <w:t>内未产生任何一笔拒付和退款，将按结算账户的剩余款项的</w:t>
      </w:r>
      <w:r>
        <w:rPr>
          <w:rFonts w:hint="eastAsia" w:ascii="微软雅黑" w:hAnsi="微软雅黑" w:cs="微软雅黑"/>
          <w:color w:val="auto"/>
          <w:sz w:val="18"/>
          <w:szCs w:val="18"/>
          <w:lang w:val="en-US" w:eastAsia="zh-CN"/>
        </w:rPr>
        <w:t>90%</w:t>
      </w:r>
      <w:r>
        <w:rPr>
          <w:rFonts w:hint="eastAsia" w:ascii="微软雅黑" w:hAnsi="微软雅黑" w:cs="微软雅黑"/>
          <w:color w:val="auto"/>
          <w:sz w:val="18"/>
          <w:szCs w:val="18"/>
        </w:rPr>
        <w:t>结算，剩余</w:t>
      </w:r>
      <w:r>
        <w:rPr>
          <w:rFonts w:hint="eastAsia" w:ascii="微软雅黑" w:hAnsi="微软雅黑" w:cs="微软雅黑"/>
          <w:color w:val="auto"/>
          <w:sz w:val="18"/>
          <w:szCs w:val="18"/>
          <w:lang w:val="en-US" w:eastAsia="zh-CN"/>
        </w:rPr>
        <w:t>百分之十</w:t>
      </w:r>
      <w:r>
        <w:rPr>
          <w:rFonts w:hint="eastAsia" w:ascii="微软雅黑" w:hAnsi="微软雅黑" w:cs="微软雅黑"/>
          <w:color w:val="auto"/>
          <w:sz w:val="18"/>
          <w:szCs w:val="18"/>
        </w:rPr>
        <w:t>待满</w:t>
      </w:r>
      <w:r>
        <w:rPr>
          <w:rFonts w:hint="eastAsia" w:ascii="微软雅黑" w:hAnsi="微软雅黑" w:cs="微软雅黑"/>
          <w:color w:val="auto"/>
          <w:sz w:val="18"/>
          <w:szCs w:val="18"/>
          <w:lang w:val="en-US" w:eastAsia="zh-CN"/>
        </w:rPr>
        <w:t>180</w:t>
      </w:r>
      <w:r>
        <w:rPr>
          <w:rFonts w:hint="eastAsia" w:ascii="微软雅黑" w:hAnsi="微软雅黑" w:cs="微软雅黑"/>
          <w:color w:val="auto"/>
          <w:sz w:val="18"/>
          <w:szCs w:val="18"/>
        </w:rPr>
        <w:t>天时且</w:t>
      </w:r>
      <w:r>
        <w:rPr>
          <w:rFonts w:hint="eastAsia" w:ascii="微软雅黑" w:hAnsi="微软雅黑" w:cs="微软雅黑"/>
          <w:color w:val="auto"/>
          <w:sz w:val="18"/>
          <w:szCs w:val="18"/>
          <w:lang w:val="en-US" w:eastAsia="zh-CN"/>
        </w:rPr>
        <w:t>30</w:t>
      </w:r>
      <w:r>
        <w:rPr>
          <w:rFonts w:hint="eastAsia" w:ascii="微软雅黑" w:hAnsi="微软雅黑" w:cs="微软雅黑"/>
          <w:color w:val="auto"/>
          <w:sz w:val="18"/>
          <w:szCs w:val="18"/>
        </w:rPr>
        <w:t>天内未产生任何一笔拒付和退款时结算。</w:t>
      </w:r>
      <w:r>
        <w:rPr>
          <w:rFonts w:hint="eastAsia" w:ascii="微软雅黑" w:hAnsi="微软雅黑" w:cs="微软雅黑"/>
          <w:color w:val="auto"/>
          <w:sz w:val="18"/>
          <w:szCs w:val="18"/>
          <w:lang w:val="en-US" w:eastAsia="zh-CN"/>
        </w:rPr>
        <w:t>在满180天时，如果只有零星拒付或退款，乙方将预留小部分资金应对后续的拒付和退款，其余资金将结算至甲方。</w:t>
      </w:r>
    </w:p>
    <w:p w14:paraId="01C978A5">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限制出款：指卖家账户的资金</w:t>
      </w:r>
      <w:r>
        <w:rPr>
          <w:rFonts w:hint="eastAsia" w:ascii="微软雅黑" w:hAnsi="微软雅黑" w:cs="微软雅黑"/>
          <w:color w:val="auto"/>
          <w:sz w:val="18"/>
          <w:szCs w:val="18"/>
          <w:lang w:val="en-US" w:eastAsia="zh-CN"/>
        </w:rPr>
        <w:t>暂时受到限制</w:t>
      </w:r>
      <w:r>
        <w:rPr>
          <w:rFonts w:hint="eastAsia" w:ascii="微软雅黑" w:hAnsi="微软雅黑" w:eastAsia="微软雅黑" w:cs="微软雅黑"/>
          <w:color w:val="auto"/>
          <w:sz w:val="18"/>
          <w:szCs w:val="18"/>
        </w:rPr>
        <w:t>不能提现，通常因账户</w:t>
      </w:r>
      <w:r>
        <w:rPr>
          <w:rFonts w:hint="eastAsia" w:ascii="微软雅黑" w:hAnsi="微软雅黑" w:cs="微软雅黑"/>
          <w:color w:val="auto"/>
          <w:sz w:val="18"/>
          <w:szCs w:val="18"/>
          <w:lang w:val="en-US" w:eastAsia="zh-CN"/>
        </w:rPr>
        <w:t>和（或）其名下的网站可能存在可疑交易的特征和或提供的产品和或服务包含禁止的品类，包括但不限于</w:t>
      </w:r>
      <w:r>
        <w:rPr>
          <w:rFonts w:hint="eastAsia" w:ascii="微软雅黑" w:hAnsi="微软雅黑" w:eastAsia="微软雅黑" w:cs="微软雅黑"/>
          <w:color w:val="auto"/>
          <w:sz w:val="18"/>
          <w:szCs w:val="18"/>
        </w:rPr>
        <w:t>涉嫌恐怖主义资金筹集、售卖违禁品、诈骗大规模不发货、违反所售产品或服务当地的法律法规、侵犯知识产权等</w:t>
      </w:r>
      <w:r>
        <w:rPr>
          <w:rFonts w:hint="eastAsia" w:ascii="微软雅黑" w:hAnsi="微软雅黑" w:cs="微软雅黑"/>
          <w:color w:val="auto"/>
          <w:sz w:val="18"/>
          <w:szCs w:val="18"/>
          <w:lang w:val="en-US" w:eastAsia="zh-CN"/>
        </w:rPr>
        <w:t>洗钱</w:t>
      </w:r>
      <w:r>
        <w:rPr>
          <w:rFonts w:hint="eastAsia" w:ascii="微软雅黑" w:hAnsi="微软雅黑" w:eastAsia="微软雅黑" w:cs="微软雅黑"/>
          <w:color w:val="auto"/>
          <w:sz w:val="18"/>
          <w:szCs w:val="18"/>
        </w:rPr>
        <w:t>行为</w:t>
      </w:r>
      <w:r>
        <w:rPr>
          <w:rFonts w:hint="eastAsia" w:ascii="微软雅黑" w:hAnsi="微软雅黑" w:cs="微软雅黑"/>
          <w:color w:val="auto"/>
          <w:sz w:val="18"/>
          <w:szCs w:val="18"/>
          <w:lang w:val="en-US" w:eastAsia="zh-CN"/>
        </w:rPr>
        <w:t>或拒付率、欺诈率严重超标</w:t>
      </w:r>
      <w:r>
        <w:rPr>
          <w:rFonts w:hint="eastAsia" w:ascii="微软雅黑" w:hAnsi="微软雅黑" w:cs="微软雅黑"/>
          <w:color w:val="auto"/>
          <w:sz w:val="18"/>
          <w:szCs w:val="18"/>
          <w:lang w:eastAsia="zh-CN"/>
        </w:rPr>
        <w:t>，需要乙方进一步调查。如若在调查周期内未发现任何可疑特征，对卖家账户的资金限制将自动解除，如若在调查周期内发现存在可疑行为，将进一步依照相关规程采取其他措施，包括但不限于冻结资金、终止合作等</w:t>
      </w:r>
      <w:r>
        <w:rPr>
          <w:rFonts w:hint="eastAsia" w:ascii="微软雅黑" w:hAnsi="微软雅黑" w:eastAsia="微软雅黑" w:cs="微软雅黑"/>
          <w:color w:val="auto"/>
          <w:sz w:val="18"/>
          <w:szCs w:val="18"/>
        </w:rPr>
        <w:t>。严重的罪行如果收到司法机构要求冻结资金或充公资金的，将会按司法机构的要求来执行，如果交易停止后满180天时，不再存在交易拒付、退款，且未收到任何司法机构的冻结令，将在扣除商户应承担的</w:t>
      </w:r>
      <w:r>
        <w:rPr>
          <w:rFonts w:hint="eastAsia" w:ascii="微软雅黑" w:hAnsi="微软雅黑" w:cs="微软雅黑"/>
          <w:color w:val="auto"/>
          <w:sz w:val="18"/>
          <w:szCs w:val="18"/>
          <w:lang w:eastAsia="zh-CN"/>
        </w:rPr>
        <w:t>罚款、</w:t>
      </w:r>
      <w:r>
        <w:rPr>
          <w:rFonts w:hint="eastAsia" w:ascii="微软雅黑" w:hAnsi="微软雅黑" w:cs="微软雅黑"/>
          <w:color w:val="auto"/>
          <w:sz w:val="18"/>
          <w:szCs w:val="18"/>
          <w:lang w:val="en-US" w:eastAsia="zh-CN"/>
        </w:rPr>
        <w:t>违约金</w:t>
      </w:r>
      <w:r>
        <w:rPr>
          <w:rFonts w:hint="eastAsia" w:ascii="微软雅黑" w:hAnsi="微软雅黑" w:eastAsia="微软雅黑" w:cs="微软雅黑"/>
          <w:color w:val="auto"/>
          <w:sz w:val="18"/>
          <w:szCs w:val="18"/>
        </w:rPr>
        <w:t>及其他相关款项后，将剩余资金结算至商户。</w:t>
      </w:r>
    </w:p>
    <w:p w14:paraId="47EFC7D2">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lang w:val="en-US" w:eastAsia="zh-CN"/>
        </w:rPr>
        <w:t>冻结资金：</w:t>
      </w:r>
      <w:r>
        <w:rPr>
          <w:rFonts w:hint="eastAsia" w:ascii="微软雅黑" w:hAnsi="微软雅黑" w:eastAsia="微软雅黑" w:cs="微软雅黑"/>
          <w:color w:val="auto"/>
          <w:sz w:val="18"/>
          <w:szCs w:val="18"/>
        </w:rPr>
        <w:t>指卖家账户的资金被冻结不能提现，通常因账户涉嫌恐怖主义资金筹集、售卖违禁品、诈骗</w:t>
      </w:r>
      <w:r>
        <w:rPr>
          <w:rFonts w:hint="eastAsia" w:ascii="微软雅黑" w:hAnsi="微软雅黑" w:eastAsia="微软雅黑" w:cs="微软雅黑"/>
          <w:color w:val="auto"/>
          <w:sz w:val="18"/>
          <w:szCs w:val="18"/>
          <w:lang w:eastAsia="zh-CN"/>
        </w:rPr>
        <w:t>、</w:t>
      </w:r>
      <w:r>
        <w:rPr>
          <w:rFonts w:hint="eastAsia" w:ascii="微软雅黑" w:hAnsi="微软雅黑" w:eastAsia="微软雅黑" w:cs="微软雅黑"/>
          <w:color w:val="auto"/>
          <w:sz w:val="18"/>
          <w:szCs w:val="18"/>
        </w:rPr>
        <w:t>大规模不发货、违反所售产品或服务当地的法律法规、侵犯知识产权</w:t>
      </w:r>
      <w:r>
        <w:rPr>
          <w:rFonts w:hint="eastAsia" w:ascii="微软雅黑" w:hAnsi="微软雅黑" w:cs="微软雅黑"/>
          <w:color w:val="auto"/>
          <w:sz w:val="18"/>
          <w:szCs w:val="18"/>
          <w:lang w:val="en-US" w:eastAsia="zh-CN"/>
        </w:rPr>
        <w:t>等洗钱行为或</w:t>
      </w:r>
      <w:r>
        <w:rPr>
          <w:rFonts w:hint="eastAsia" w:ascii="微软雅黑" w:hAnsi="微软雅黑" w:eastAsia="微软雅黑" w:cs="微软雅黑"/>
          <w:color w:val="auto"/>
          <w:sz w:val="18"/>
          <w:szCs w:val="18"/>
          <w:lang w:eastAsia="zh-CN"/>
        </w:rPr>
        <w:t>、</w:t>
      </w:r>
      <w:r>
        <w:rPr>
          <w:rFonts w:hint="eastAsia" w:ascii="微软雅黑" w:hAnsi="微软雅黑" w:eastAsia="微软雅黑" w:cs="微软雅黑"/>
          <w:color w:val="auto"/>
          <w:sz w:val="18"/>
          <w:szCs w:val="18"/>
          <w:lang w:val="en-US" w:eastAsia="zh-CN"/>
        </w:rPr>
        <w:t>拒付率或欺诈率严重超标</w:t>
      </w:r>
      <w:r>
        <w:rPr>
          <w:rFonts w:hint="eastAsia" w:ascii="微软雅黑" w:hAnsi="微软雅黑" w:eastAsia="微软雅黑" w:cs="微软雅黑"/>
          <w:color w:val="auto"/>
          <w:sz w:val="18"/>
          <w:szCs w:val="18"/>
        </w:rPr>
        <w:t>等行为。严重的罪行如果收到司法机构</w:t>
      </w:r>
      <w:r>
        <w:rPr>
          <w:rFonts w:hint="eastAsia" w:ascii="微软雅黑" w:hAnsi="微软雅黑" w:eastAsia="微软雅黑" w:cs="微软雅黑"/>
          <w:color w:val="auto"/>
          <w:sz w:val="18"/>
          <w:szCs w:val="18"/>
          <w:lang w:val="en-US" w:eastAsia="zh-CN"/>
        </w:rPr>
        <w:t>通知</w:t>
      </w:r>
      <w:r>
        <w:rPr>
          <w:rFonts w:hint="eastAsia" w:ascii="微软雅黑" w:hAnsi="微软雅黑" w:eastAsia="微软雅黑" w:cs="微软雅黑"/>
          <w:color w:val="auto"/>
          <w:sz w:val="18"/>
          <w:szCs w:val="18"/>
        </w:rPr>
        <w:t>要求冻结资金或充公资金的，将会按司法机构的要求来执行，如果交易停止后满180天时，不再存在交易拒付、退款，且未收到任何司法机构的冻结令，将在扣除商户应承担的</w:t>
      </w:r>
      <w:r>
        <w:rPr>
          <w:rFonts w:hint="eastAsia" w:ascii="微软雅黑" w:hAnsi="微软雅黑" w:cs="微软雅黑"/>
          <w:color w:val="auto"/>
          <w:sz w:val="18"/>
          <w:szCs w:val="18"/>
          <w:lang w:eastAsia="zh-CN"/>
        </w:rPr>
        <w:t>罚款、</w:t>
      </w:r>
      <w:r>
        <w:rPr>
          <w:rFonts w:hint="eastAsia" w:ascii="微软雅黑" w:hAnsi="微软雅黑" w:cs="微软雅黑"/>
          <w:color w:val="auto"/>
          <w:sz w:val="18"/>
          <w:szCs w:val="18"/>
          <w:lang w:val="en-US" w:eastAsia="zh-CN"/>
        </w:rPr>
        <w:t>违约金</w:t>
      </w:r>
      <w:r>
        <w:rPr>
          <w:rFonts w:hint="eastAsia" w:ascii="微软雅黑" w:hAnsi="微软雅黑" w:eastAsia="微软雅黑" w:cs="微软雅黑"/>
          <w:color w:val="auto"/>
          <w:sz w:val="18"/>
          <w:szCs w:val="18"/>
        </w:rPr>
        <w:t>及其他相关款项后，将剩余资金结算至商户。</w:t>
      </w:r>
    </w:p>
    <w:p w14:paraId="17E0E59F">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本协议所涉及的各种待结算款、保证金等均不再涉及利息。</w:t>
      </w:r>
    </w:p>
    <w:p w14:paraId="44C9EC27">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在协议有效期内或协议期满或者提前终止时，甲方存在大量客户纠纷、监管机关调查事项、交易风险事件及其他未结事项的，乙方有权推迟结算直至上述情形消除</w:t>
      </w:r>
      <w:r>
        <w:rPr>
          <w:rFonts w:hint="eastAsia" w:ascii="微软雅黑" w:hAnsi="微软雅黑" w:cs="微软雅黑"/>
          <w:color w:val="auto"/>
          <w:sz w:val="18"/>
          <w:szCs w:val="18"/>
          <w:lang w:eastAsia="zh-CN"/>
        </w:rPr>
        <w:t>。</w:t>
      </w:r>
    </w:p>
    <w:p w14:paraId="3CAAA60E">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甲乙双方终止合作后，如甲方交易未发生与其历史交易表现（主要指拒付率、退款率）不一致的情况下，乙方在确认甲方已经完成其商品配送或服务时，将乙方待结算账户的余额结算至甲方约定的银行账户，保证金账户将在到期后再结算至甲方。</w:t>
      </w:r>
    </w:p>
    <w:p w14:paraId="25B3FD7E">
      <w:pPr>
        <w:pStyle w:val="18"/>
        <w:numPr>
          <w:ilvl w:val="1"/>
          <w:numId w:val="3"/>
        </w:numPr>
        <w:autoSpaceDE/>
        <w:autoSpaceDN/>
        <w:adjustRightInd w:val="0"/>
        <w:spacing w:before="157"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若甲方从事卡组织等单位规定不予受理的业务范围内的交易（包括但不限于博彩、</w:t>
      </w:r>
      <w:r>
        <w:rPr>
          <w:rFonts w:hint="eastAsia" w:ascii="微软雅黑" w:hAnsi="微软雅黑" w:cs="微软雅黑"/>
          <w:color w:val="auto"/>
          <w:sz w:val="18"/>
          <w:szCs w:val="18"/>
          <w:lang w:val="en-US" w:eastAsia="zh-CN"/>
        </w:rPr>
        <w:t>色情、未经授权药品及保健品、毒品</w:t>
      </w:r>
      <w:r>
        <w:rPr>
          <w:rFonts w:hint="eastAsia" w:ascii="微软雅黑" w:hAnsi="微软雅黑" w:eastAsia="微软雅黑" w:cs="微软雅黑"/>
          <w:color w:val="auto"/>
          <w:sz w:val="18"/>
          <w:szCs w:val="18"/>
        </w:rPr>
        <w:t>、管制刀具、枪支器械、洗钱交易等）时，乙方有权不予结算，并立即停止提供服务、终止双方合作。</w:t>
      </w:r>
    </w:p>
    <w:p w14:paraId="67D8D383">
      <w:pPr>
        <w:pStyle w:val="18"/>
        <w:numPr>
          <w:ilvl w:val="1"/>
          <w:numId w:val="3"/>
        </w:numPr>
        <w:autoSpaceDE/>
        <w:autoSpaceDN/>
        <w:adjustRightInd w:val="0"/>
        <w:spacing w:before="157"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在乙方未收到结算款项前，出于完善客户体验等各种商业目的，乙方会视情况自行决定预先垫支款项给甲方进行结算。甲方在此确认并同意乙方上述预先垫支款项均视为甲方向乙方的借款，利息双方有约定的，按照约定处理，没有约定的，则视为免息。乙方收到结算款项后，该结算款项将自动用以归还上述预先垫支款项；如果乙方最终未能收到结算款项，则甲方有义务在乙方提出要求后归还乙方上述预先垫支款项，否则，每逾期一日，甲方应当以未归还的垫支款项为基数按照日万分之五</w:t>
      </w:r>
      <w:r>
        <w:rPr>
          <w:rFonts w:hint="eastAsia" w:ascii="微软雅黑" w:hAnsi="微软雅黑" w:eastAsia="微软雅黑" w:cs="微软雅黑"/>
          <w:color w:val="auto"/>
          <w:sz w:val="18"/>
          <w:szCs w:val="18"/>
          <w:lang w:val="en-US" w:eastAsia="zh-CN"/>
        </w:rPr>
        <w:t>支付</w:t>
      </w:r>
      <w:r>
        <w:rPr>
          <w:rFonts w:hint="eastAsia" w:ascii="微软雅黑" w:hAnsi="微软雅黑" w:eastAsia="微软雅黑" w:cs="微软雅黑"/>
          <w:color w:val="auto"/>
          <w:sz w:val="18"/>
          <w:szCs w:val="18"/>
        </w:rPr>
        <w:t>违约金。</w:t>
      </w:r>
    </w:p>
    <w:p w14:paraId="10A08DED">
      <w:pPr>
        <w:pStyle w:val="18"/>
        <w:numPr>
          <w:ilvl w:val="1"/>
          <w:numId w:val="3"/>
        </w:numPr>
        <w:autoSpaceDE/>
        <w:autoSpaceDN/>
        <w:adjustRightInd w:val="0"/>
        <w:spacing w:before="157"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在发生包括但不限于下述情况时，且甲方待结算资金已经为负数时，乙方有权向甲方索回或追偿相关款项：</w:t>
      </w:r>
    </w:p>
    <w:p w14:paraId="109657AE">
      <w:pPr>
        <w:pStyle w:val="18"/>
        <w:keepNext w:val="0"/>
        <w:keepLines w:val="0"/>
        <w:pageBreakBefore w:val="0"/>
        <w:numPr>
          <w:ilvl w:val="2"/>
          <w:numId w:val="3"/>
        </w:numPr>
        <w:kinsoku/>
        <w:wordWrap/>
        <w:overflowPunct/>
        <w:topLinePunct w:val="0"/>
        <w:autoSpaceDE/>
        <w:autoSpaceDN/>
        <w:bidi w:val="0"/>
        <w:adjustRightInd w:val="0"/>
        <w:snapToGrid/>
        <w:spacing w:before="157" w:beforeLines="-2147483648"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持卡人拒付、退款或发卡行退单时；</w:t>
      </w:r>
    </w:p>
    <w:p w14:paraId="6F2ADD48">
      <w:pPr>
        <w:pStyle w:val="18"/>
        <w:keepNext w:val="0"/>
        <w:keepLines w:val="0"/>
        <w:pageBreakBefore w:val="0"/>
        <w:numPr>
          <w:ilvl w:val="2"/>
          <w:numId w:val="3"/>
        </w:numPr>
        <w:kinsoku/>
        <w:wordWrap/>
        <w:overflowPunct/>
        <w:topLinePunct w:val="0"/>
        <w:autoSpaceDE/>
        <w:autoSpaceDN/>
        <w:bidi w:val="0"/>
        <w:adjustRightInd w:val="0"/>
        <w:snapToGrid/>
        <w:spacing w:before="157" w:beforeLines="-2147483648"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甲方在经营活动中违反国家、国际卡组织、银行、收单机构等相关规定，导致相关有权部门对乙方罚款或者押款；</w:t>
      </w:r>
    </w:p>
    <w:p w14:paraId="57465C41">
      <w:pPr>
        <w:pStyle w:val="18"/>
        <w:keepNext w:val="0"/>
        <w:keepLines w:val="0"/>
        <w:pageBreakBefore w:val="0"/>
        <w:numPr>
          <w:ilvl w:val="2"/>
          <w:numId w:val="3"/>
        </w:numPr>
        <w:kinsoku/>
        <w:wordWrap/>
        <w:overflowPunct/>
        <w:topLinePunct w:val="0"/>
        <w:autoSpaceDE/>
        <w:autoSpaceDN/>
        <w:bidi w:val="0"/>
        <w:adjustRightInd w:val="0"/>
        <w:snapToGrid/>
        <w:spacing w:before="157" w:beforeLines="-2147483648"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由于甲方发生的风险交易数额或者比率超过卡组织的阈值规定而导致乙方收单机构对乙方予以处罚的罚款。</w:t>
      </w:r>
    </w:p>
    <w:p w14:paraId="7777AADF">
      <w:pPr>
        <w:pStyle w:val="18"/>
        <w:numPr>
          <w:ilvl w:val="1"/>
          <w:numId w:val="3"/>
        </w:numPr>
        <w:autoSpaceDE/>
        <w:autoSpaceDN/>
        <w:adjustRightInd w:val="0"/>
        <w:spacing w:before="157" w:beforeLines="-2147483648"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在对甲方待结算款项进行暂缓结算、限制出款等操作后</w:t>
      </w:r>
      <w:r>
        <w:rPr>
          <w:rFonts w:hint="eastAsia" w:ascii="微软雅黑" w:hAnsi="微软雅黑" w:cs="微软雅黑"/>
          <w:color w:val="auto"/>
          <w:sz w:val="18"/>
          <w:szCs w:val="18"/>
          <w:lang w:val="en-US" w:eastAsia="zh-CN"/>
        </w:rPr>
        <w:t>三</w:t>
      </w:r>
      <w:r>
        <w:rPr>
          <w:rFonts w:hint="eastAsia" w:ascii="微软雅黑" w:hAnsi="微软雅黑" w:eastAsia="微软雅黑" w:cs="微软雅黑"/>
          <w:color w:val="auto"/>
          <w:sz w:val="18"/>
          <w:szCs w:val="18"/>
        </w:rPr>
        <w:t>个工作日内，乙方需将相应情况以书面形式通知甲方。</w:t>
      </w:r>
    </w:p>
    <w:p w14:paraId="6B898537">
      <w:pPr>
        <w:pStyle w:val="18"/>
        <w:numPr>
          <w:ilvl w:val="1"/>
          <w:numId w:val="3"/>
        </w:numPr>
        <w:autoSpaceDE/>
        <w:autoSpaceDN/>
        <w:adjustRightInd w:val="0"/>
        <w:spacing w:before="157" w:beforeLines="-2147483648"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甲乙双方应当依法纳税，并各自承担本协议项下业务需缴纳的税费。</w:t>
      </w:r>
    </w:p>
    <w:p w14:paraId="6CEFA1FF">
      <w:pPr>
        <w:keepNext w:val="0"/>
        <w:keepLines w:val="0"/>
        <w:pageBreakBefore w:val="0"/>
        <w:numPr>
          <w:ilvl w:val="0"/>
          <w:numId w:val="3"/>
        </w:numPr>
        <w:kinsoku/>
        <w:wordWrap/>
        <w:overflowPunct/>
        <w:topLinePunct w:val="0"/>
        <w:autoSpaceDE/>
        <w:autoSpaceDN/>
        <w:bidi w:val="0"/>
        <w:adjustRightInd w:val="0"/>
        <w:snapToGrid/>
        <w:spacing w:before="157" w:beforeLines="50" w:after="157" w:afterLines="50" w:line="360" w:lineRule="auto"/>
        <w:ind w:left="425" w:leftChars="0" w:hanging="425" w:firstLineChars="0"/>
        <w:jc w:val="both"/>
        <w:rPr>
          <w:rFonts w:hint="eastAsia" w:ascii="微软雅黑" w:hAnsi="微软雅黑" w:eastAsia="微软雅黑" w:cs="微软雅黑"/>
          <w:b/>
          <w:color w:val="auto"/>
          <w:sz w:val="18"/>
          <w:szCs w:val="18"/>
        </w:rPr>
      </w:pPr>
      <w:r>
        <w:rPr>
          <w:rFonts w:hint="eastAsia" w:ascii="微软雅黑" w:hAnsi="微软雅黑" w:eastAsia="微软雅黑" w:cs="微软雅黑"/>
          <w:b/>
          <w:color w:val="auto"/>
          <w:sz w:val="18"/>
          <w:szCs w:val="18"/>
        </w:rPr>
        <w:t>专有信息和保密</w:t>
      </w:r>
    </w:p>
    <w:p w14:paraId="13DBC2D3">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乙方或其合作伙伴拥有乙方所提供网络服务内容的所有权和知识产权。网络服务内容的所有权包括但不限于：</w:t>
      </w:r>
    </w:p>
    <w:p w14:paraId="262DF65A">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文字、软件、声音、图片、录像、图表、标示、广告中的全部内容；</w:t>
      </w:r>
    </w:p>
    <w:p w14:paraId="69368D9A">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电子邮件的全部内容，乙方为甲方或甲方客户提供的其他数据信息等；</w:t>
      </w:r>
    </w:p>
    <w:p w14:paraId="3826DF9A">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基于上述内容所有的版权、</w:t>
      </w:r>
      <w:r>
        <w:rPr>
          <w:rFonts w:hint="eastAsia" w:ascii="微软雅黑" w:hAnsi="微软雅黑" w:cs="微软雅黑"/>
          <w:color w:val="auto"/>
          <w:sz w:val="18"/>
          <w:szCs w:val="18"/>
          <w:lang w:val="en-US" w:eastAsia="zh-CN"/>
        </w:rPr>
        <w:t>专利、</w:t>
      </w:r>
      <w:r>
        <w:rPr>
          <w:rFonts w:hint="eastAsia" w:ascii="微软雅黑" w:hAnsi="微软雅黑" w:eastAsia="微软雅黑" w:cs="微软雅黑"/>
          <w:color w:val="auto"/>
          <w:sz w:val="18"/>
          <w:szCs w:val="18"/>
        </w:rPr>
        <w:t>商标、标签以及其他财产所有权和权益。</w:t>
      </w:r>
    </w:p>
    <w:p w14:paraId="21776E84">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合同履行过程中，涉及甲方自身提供的信息、资料等全部内容的所有权和知识产权由甲方享有。</w:t>
      </w:r>
    </w:p>
    <w:p w14:paraId="750F2A9F">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双方在合作期内获得的信息及本协议内容均为保密信息。保密信息包括但不限于</w:t>
      </w:r>
      <w:r>
        <w:rPr>
          <w:rFonts w:hint="eastAsia" w:ascii="微软雅黑" w:hAnsi="微软雅黑" w:cs="微软雅黑"/>
          <w:color w:val="auto"/>
          <w:sz w:val="18"/>
          <w:szCs w:val="18"/>
          <w:lang w:eastAsia="zh-CN"/>
        </w:rPr>
        <w:t>：</w:t>
      </w:r>
    </w:p>
    <w:p w14:paraId="4C28D141">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双方的商业模式、产品等；</w:t>
      </w:r>
    </w:p>
    <w:p w14:paraId="3CDA2461">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系统接口文档、安全协议及资质证书等；</w:t>
      </w:r>
    </w:p>
    <w:p w14:paraId="330734D4">
      <w:pPr>
        <w:pStyle w:val="18"/>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其他因签订本协议知悉的对方经营、运行记忆交易等商业信息。</w:t>
      </w:r>
    </w:p>
    <w:p w14:paraId="4BF4DFBF">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甲乙双方及其全部员工（包括可以直接或间接接触到通过电子支付方式付款的客户的银行卡资料及信息的所有员工）必须对其知晓的客户的银行卡资料予以保密。不得泄露、披露客户的银行卡资料，更不得利用客户的银行卡资料从事盗卡、伪冒等非法交易。如发生上述情形造成持卡人损失的，由责任方依法承担责任。</w:t>
      </w:r>
    </w:p>
    <w:p w14:paraId="5CA356BA">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 xml:space="preserve">甲乙双方对本协议条款（包括附件和补充协议）、技术信息、经营信息等保密信息负有同样的保密义务。在本协议的磋商、订立过程中、本协议期内以及本协议终止后的任何和所有时间内，任何一方在事先未经对方书面同意的情况下，不得向任何第三方披露、泄漏任何对方的保密信息；否则应当承担法律责任。  </w:t>
      </w:r>
    </w:p>
    <w:p w14:paraId="077945C5">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在本协议履行期间及履行结束后，一方违反上述约定，另一方有权主张对方停止侵害并得向对方主张违约金及损害赔偿金，同时有权单方终止本协议。</w:t>
      </w:r>
    </w:p>
    <w:p w14:paraId="6050840E">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本协议项下的保密责任不因本协议的无效、提前终止、解除或不具操作性而失效。</w:t>
      </w:r>
    </w:p>
    <w:p w14:paraId="5493D218">
      <w:pPr>
        <w:keepNext w:val="0"/>
        <w:keepLines w:val="0"/>
        <w:pageBreakBefore w:val="0"/>
        <w:numPr>
          <w:ilvl w:val="0"/>
          <w:numId w:val="3"/>
        </w:numPr>
        <w:kinsoku/>
        <w:wordWrap/>
        <w:overflowPunct/>
        <w:topLinePunct w:val="0"/>
        <w:autoSpaceDE/>
        <w:autoSpaceDN/>
        <w:bidi w:val="0"/>
        <w:adjustRightInd w:val="0"/>
        <w:snapToGrid/>
        <w:spacing w:before="157" w:beforeLines="50" w:after="157" w:afterLines="50" w:line="360" w:lineRule="auto"/>
        <w:ind w:left="425" w:leftChars="0" w:hanging="425" w:firstLineChars="0"/>
        <w:jc w:val="both"/>
        <w:rPr>
          <w:rFonts w:hint="eastAsia" w:ascii="微软雅黑" w:hAnsi="微软雅黑" w:eastAsia="微软雅黑" w:cs="微软雅黑"/>
          <w:b/>
          <w:color w:val="auto"/>
          <w:sz w:val="18"/>
          <w:szCs w:val="18"/>
        </w:rPr>
      </w:pPr>
      <w:r>
        <w:rPr>
          <w:rFonts w:hint="eastAsia" w:ascii="微软雅黑" w:hAnsi="微软雅黑" w:eastAsia="微软雅黑" w:cs="微软雅黑"/>
          <w:b/>
          <w:color w:val="auto"/>
          <w:sz w:val="18"/>
          <w:szCs w:val="18"/>
        </w:rPr>
        <w:t>期限和终止</w:t>
      </w:r>
    </w:p>
    <w:p w14:paraId="55F3B678">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本协议经双方加盖公章或合同章后生效，本协议的有效期自【</w:t>
      </w:r>
      <w:r>
        <w:rPr>
          <w:rFonts w:hint="eastAsia" w:ascii="微软雅黑" w:hAnsi="微软雅黑" w:cs="微软雅黑"/>
          <w:color w:val="auto"/>
          <w:sz w:val="18"/>
          <w:szCs w:val="18"/>
          <w:lang w:val="en-US" w:eastAsia="zh-CN"/>
        </w:rPr>
        <w:t xml:space="preserve">    </w:t>
      </w:r>
      <w:r>
        <w:rPr>
          <w:rFonts w:hint="eastAsia" w:ascii="微软雅黑" w:hAnsi="微软雅黑" w:eastAsia="微软雅黑" w:cs="微软雅黑"/>
          <w:color w:val="auto"/>
          <w:sz w:val="18"/>
          <w:szCs w:val="18"/>
        </w:rPr>
        <w:t>】年【</w:t>
      </w:r>
      <w:r>
        <w:rPr>
          <w:rFonts w:hint="eastAsia" w:ascii="微软雅黑" w:hAnsi="微软雅黑" w:cs="微软雅黑"/>
          <w:color w:val="auto"/>
          <w:sz w:val="18"/>
          <w:szCs w:val="18"/>
          <w:lang w:val="en-US" w:eastAsia="zh-CN"/>
        </w:rPr>
        <w:t xml:space="preserve">    </w:t>
      </w:r>
      <w:r>
        <w:rPr>
          <w:rFonts w:hint="eastAsia" w:ascii="微软雅黑" w:hAnsi="微软雅黑" w:eastAsia="微软雅黑" w:cs="微软雅黑"/>
          <w:color w:val="auto"/>
          <w:sz w:val="18"/>
          <w:szCs w:val="18"/>
        </w:rPr>
        <w:t>】月【</w:t>
      </w:r>
      <w:r>
        <w:rPr>
          <w:rFonts w:hint="eastAsia" w:ascii="微软雅黑" w:hAnsi="微软雅黑" w:cs="微软雅黑"/>
          <w:color w:val="auto"/>
          <w:sz w:val="18"/>
          <w:szCs w:val="18"/>
          <w:lang w:val="en-US" w:eastAsia="zh-CN"/>
        </w:rPr>
        <w:t xml:space="preserve">    </w:t>
      </w:r>
      <w:r>
        <w:rPr>
          <w:rFonts w:hint="eastAsia" w:ascii="微软雅黑" w:hAnsi="微软雅黑" w:eastAsia="微软雅黑" w:cs="微软雅黑"/>
          <w:color w:val="auto"/>
          <w:sz w:val="18"/>
          <w:szCs w:val="18"/>
        </w:rPr>
        <w:t>】日起至【</w:t>
      </w:r>
      <w:r>
        <w:rPr>
          <w:rFonts w:hint="eastAsia" w:ascii="微软雅黑" w:hAnsi="微软雅黑" w:cs="微软雅黑"/>
          <w:color w:val="auto"/>
          <w:sz w:val="18"/>
          <w:szCs w:val="18"/>
          <w:lang w:val="en-US" w:eastAsia="zh-CN"/>
        </w:rPr>
        <w:t xml:space="preserve">    </w:t>
      </w:r>
      <w:r>
        <w:rPr>
          <w:rFonts w:hint="eastAsia" w:ascii="微软雅黑" w:hAnsi="微软雅黑" w:eastAsia="微软雅黑" w:cs="微软雅黑"/>
          <w:color w:val="auto"/>
          <w:sz w:val="18"/>
          <w:szCs w:val="18"/>
        </w:rPr>
        <w:t>】年【</w:t>
      </w:r>
      <w:r>
        <w:rPr>
          <w:rFonts w:hint="eastAsia" w:ascii="微软雅黑" w:hAnsi="微软雅黑" w:cs="微软雅黑"/>
          <w:color w:val="auto"/>
          <w:sz w:val="18"/>
          <w:szCs w:val="18"/>
          <w:lang w:val="en-US" w:eastAsia="zh-CN"/>
        </w:rPr>
        <w:t xml:space="preserve">    </w:t>
      </w:r>
      <w:r>
        <w:rPr>
          <w:rFonts w:hint="eastAsia" w:ascii="微软雅黑" w:hAnsi="微软雅黑" w:eastAsia="微软雅黑" w:cs="微软雅黑"/>
          <w:color w:val="auto"/>
          <w:sz w:val="18"/>
          <w:szCs w:val="18"/>
        </w:rPr>
        <w:t>】月【</w:t>
      </w:r>
      <w:r>
        <w:rPr>
          <w:rFonts w:hint="eastAsia" w:ascii="微软雅黑" w:hAnsi="微软雅黑" w:cs="微软雅黑"/>
          <w:color w:val="auto"/>
          <w:sz w:val="18"/>
          <w:szCs w:val="18"/>
          <w:lang w:val="en-US" w:eastAsia="zh-CN"/>
        </w:rPr>
        <w:t xml:space="preserve">    </w:t>
      </w:r>
      <w:r>
        <w:rPr>
          <w:rFonts w:hint="eastAsia" w:ascii="微软雅黑" w:hAnsi="微软雅黑" w:eastAsia="微软雅黑" w:cs="微软雅黑"/>
          <w:color w:val="auto"/>
          <w:sz w:val="18"/>
          <w:szCs w:val="18"/>
        </w:rPr>
        <w:t>】日止。</w:t>
      </w:r>
    </w:p>
    <w:p w14:paraId="2C2FC1B1">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在本协议约定的有效期届满前</w:t>
      </w:r>
      <w:r>
        <w:rPr>
          <w:rFonts w:hint="eastAsia" w:ascii="微软雅黑" w:hAnsi="微软雅黑" w:cs="微软雅黑"/>
          <w:color w:val="auto"/>
          <w:sz w:val="18"/>
          <w:szCs w:val="18"/>
          <w:lang w:val="en-US" w:eastAsia="zh-CN"/>
        </w:rPr>
        <w:t>三十</w:t>
      </w:r>
      <w:r>
        <w:rPr>
          <w:rFonts w:hint="eastAsia" w:ascii="微软雅黑" w:hAnsi="微软雅黑" w:eastAsia="微软雅黑" w:cs="微软雅黑"/>
          <w:color w:val="auto"/>
          <w:sz w:val="18"/>
          <w:szCs w:val="18"/>
        </w:rPr>
        <w:t>日内，双方应就是否续约进行协商；如本协议期限届满之日，双方均未有</w:t>
      </w:r>
      <w:r>
        <w:rPr>
          <w:rFonts w:hint="eastAsia" w:ascii="微软雅黑" w:hAnsi="微软雅黑" w:cs="微软雅黑"/>
          <w:color w:val="auto"/>
          <w:sz w:val="18"/>
          <w:szCs w:val="18"/>
          <w:u w:val="none"/>
          <w:lang w:val="en-US" w:eastAsia="zh-CN"/>
        </w:rPr>
        <w:t>继续合作</w:t>
      </w:r>
      <w:r>
        <w:rPr>
          <w:rFonts w:hint="eastAsia" w:ascii="微软雅黑" w:hAnsi="微软雅黑" w:eastAsia="微软雅黑" w:cs="微软雅黑"/>
          <w:color w:val="auto"/>
          <w:sz w:val="18"/>
          <w:szCs w:val="18"/>
        </w:rPr>
        <w:t>的书面意思表示，</w:t>
      </w:r>
      <w:r>
        <w:rPr>
          <w:rFonts w:hint="eastAsia" w:ascii="微软雅黑" w:hAnsi="微软雅黑" w:cs="微软雅黑"/>
          <w:color w:val="auto"/>
          <w:sz w:val="18"/>
          <w:szCs w:val="18"/>
          <w:lang w:val="en-US" w:eastAsia="zh-CN"/>
        </w:rPr>
        <w:t>本协议期限届满后效力终止。</w:t>
      </w:r>
    </w:p>
    <w:p w14:paraId="000670DD">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在本协议有效期间内，如果甲乙双方企业名称发生变更的，双方须在更名后的十五个工作日内</w:t>
      </w:r>
      <w:r>
        <w:rPr>
          <w:rFonts w:hint="eastAsia" w:ascii="微软雅黑" w:hAnsi="微软雅黑" w:cs="微软雅黑"/>
          <w:color w:val="auto"/>
          <w:sz w:val="18"/>
          <w:szCs w:val="18"/>
          <w:lang w:val="en-US" w:eastAsia="zh-CN"/>
        </w:rPr>
        <w:t>告知对方并</w:t>
      </w:r>
      <w:r>
        <w:rPr>
          <w:rFonts w:hint="eastAsia" w:ascii="微软雅黑" w:hAnsi="微软雅黑" w:eastAsia="微软雅黑" w:cs="微软雅黑"/>
          <w:color w:val="auto"/>
          <w:sz w:val="18"/>
          <w:szCs w:val="18"/>
        </w:rPr>
        <w:t>向对方提交更名通知</w:t>
      </w:r>
      <w:r>
        <w:rPr>
          <w:rFonts w:hint="eastAsia" w:ascii="微软雅黑" w:hAnsi="微软雅黑" w:cs="微软雅黑"/>
          <w:color w:val="auto"/>
          <w:sz w:val="18"/>
          <w:szCs w:val="18"/>
          <w:lang w:eastAsia="zh-CN"/>
        </w:rPr>
        <w:t>，</w:t>
      </w:r>
      <w:r>
        <w:rPr>
          <w:rFonts w:hint="eastAsia" w:ascii="微软雅黑" w:hAnsi="微软雅黑" w:cs="微软雅黑"/>
          <w:color w:val="auto"/>
          <w:sz w:val="18"/>
          <w:szCs w:val="18"/>
          <w:lang w:val="en-US" w:eastAsia="zh-CN"/>
        </w:rPr>
        <w:t>并提供</w:t>
      </w:r>
      <w:r>
        <w:rPr>
          <w:rFonts w:hint="eastAsia" w:ascii="微软雅黑" w:hAnsi="微软雅黑" w:eastAsia="微软雅黑" w:cs="微软雅黑"/>
          <w:color w:val="auto"/>
          <w:sz w:val="18"/>
          <w:szCs w:val="18"/>
        </w:rPr>
        <w:t xml:space="preserve">工商局等政府部门关于更名核准的资料，该情况并不影响本协议的履行。 </w:t>
      </w:r>
    </w:p>
    <w:p w14:paraId="477FF1D6">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 xml:space="preserve">本协议非经双方书面协商一致及本协议约定的解除情形外不得解除；</w:t>
      </w:r>
    </w:p>
    <w:p w14:paraId="5F9697E3">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甲方有下列情形之一的，乙方可单方面立即终止协议并停止服务，因此造成损失的，乙方有权追偿因此导致的损失：</w:t>
      </w:r>
    </w:p>
    <w:p w14:paraId="6D8B5B83">
      <w:pPr>
        <w:pStyle w:val="18"/>
        <w:keepNext w:val="0"/>
        <w:keepLines w:val="0"/>
        <w:pageBreakBefore w:val="0"/>
        <w:numPr>
          <w:ilvl w:val="2"/>
          <w:numId w:val="3"/>
        </w:numPr>
        <w:kinsoku/>
        <w:wordWrap/>
        <w:overflowPunct/>
        <w:topLinePunct w:val="0"/>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 xml:space="preserve">利用乙方提供的支付平台进行洗钱、诈骗、盗窃等非法行为的，或者在交易中违反相关法律规定、国际卡组织规定及乙方商户准入要求的；或者甲方提供的身份证明、企业登记资料、行政许可证、业务范围不真实； </w:t>
      </w:r>
    </w:p>
    <w:p w14:paraId="4AB91A1E">
      <w:pPr>
        <w:pStyle w:val="18"/>
        <w:keepNext w:val="0"/>
        <w:keepLines w:val="0"/>
        <w:pageBreakBefore w:val="0"/>
        <w:numPr>
          <w:ilvl w:val="2"/>
          <w:numId w:val="3"/>
        </w:numPr>
        <w:kinsoku/>
        <w:wordWrap/>
        <w:overflowPunct/>
        <w:topLinePunct w:val="0"/>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通过乙方支付平台而发生的成功交易，不发货或者不提供服务至消费者；或者在交易中出现或者可能出现过多的交易纠纷或者过高交易风险经双方协商无法解决的；或者未及时妥善处理客户投诉给乙方造成声誉上损害的；</w:t>
      </w:r>
    </w:p>
    <w:p w14:paraId="5459E7DA">
      <w:pPr>
        <w:pStyle w:val="18"/>
        <w:keepNext w:val="0"/>
        <w:keepLines w:val="0"/>
        <w:pageBreakBefore w:val="0"/>
        <w:numPr>
          <w:ilvl w:val="2"/>
          <w:numId w:val="3"/>
        </w:numPr>
        <w:kinsoku/>
        <w:wordWrap/>
        <w:overflowPunct/>
        <w:topLinePunct w:val="0"/>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司法机关、金融监管机构、发卡行等相关行政及监管部门出具要求</w:t>
      </w:r>
      <w:r>
        <w:rPr>
          <w:rFonts w:hint="eastAsia" w:ascii="微软雅黑" w:hAnsi="微软雅黑" w:cs="微软雅黑"/>
          <w:color w:val="auto"/>
          <w:sz w:val="18"/>
          <w:szCs w:val="18"/>
          <w:lang w:val="en-US" w:eastAsia="zh-CN"/>
        </w:rPr>
        <w:t>中止</w:t>
      </w:r>
      <w:r>
        <w:rPr>
          <w:rFonts w:hint="eastAsia" w:ascii="微软雅黑" w:hAnsi="微软雅黑" w:eastAsia="微软雅黑" w:cs="微软雅黑"/>
          <w:color w:val="auto"/>
          <w:sz w:val="18"/>
          <w:szCs w:val="18"/>
        </w:rPr>
        <w:t>或者终止对甲方支付结算的书面通知的；或者乙方根据上游收单机构或银行或国际卡组织的高风险通知或关闭商户通知，提前书面通知甲方的；</w:t>
      </w:r>
    </w:p>
    <w:p w14:paraId="14A5B9B3">
      <w:pPr>
        <w:pStyle w:val="18"/>
        <w:keepNext w:val="0"/>
        <w:keepLines w:val="0"/>
        <w:pageBreakBefore w:val="0"/>
        <w:numPr>
          <w:ilvl w:val="2"/>
          <w:numId w:val="3"/>
        </w:numPr>
        <w:kinsoku/>
        <w:wordWrap/>
        <w:overflowPunct/>
        <w:topLinePunct w:val="0"/>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不合理使用乙方提供给甲方的支付服务的，包括但不限于在其网站上未如实描述乙方支付义务、采用技术或者非法手段截取消费者的银行卡信息等；</w:t>
      </w:r>
    </w:p>
    <w:p w14:paraId="721E99AA">
      <w:pPr>
        <w:pStyle w:val="18"/>
        <w:keepNext w:val="0"/>
        <w:keepLines w:val="0"/>
        <w:pageBreakBefore w:val="0"/>
        <w:numPr>
          <w:ilvl w:val="2"/>
          <w:numId w:val="3"/>
        </w:numPr>
        <w:kinsoku/>
        <w:wordWrap/>
        <w:overflowPunct/>
        <w:topLinePunct w:val="0"/>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在交易中违反法律规定，侵犯他人的知识产权的，包括但不限于假冒、出售假冒注册商标的商品、制造或销售非法制造的商标标示、制造或者销售侵权复制品、制造或者出售制造的假冒专利产品以及制造或者销售侵犯他人商业秘密的商品等行为</w:t>
      </w:r>
      <w:r>
        <w:rPr>
          <w:rFonts w:hint="eastAsia" w:ascii="微软雅黑" w:hAnsi="微软雅黑" w:cs="微软雅黑"/>
          <w:color w:val="auto"/>
          <w:sz w:val="18"/>
          <w:szCs w:val="18"/>
          <w:lang w:eastAsia="zh-CN"/>
        </w:rPr>
        <w:t>；</w:t>
      </w:r>
    </w:p>
    <w:p w14:paraId="7474EADD">
      <w:pPr>
        <w:pStyle w:val="18"/>
        <w:keepNext w:val="0"/>
        <w:keepLines w:val="0"/>
        <w:pageBreakBefore w:val="0"/>
        <w:numPr>
          <w:ilvl w:val="2"/>
          <w:numId w:val="3"/>
        </w:numPr>
        <w:kinsoku/>
        <w:wordWrap/>
        <w:overflowPunct/>
        <w:topLinePunct w:val="0"/>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甲方不得采取任何方式截取消费者通过使用乙方电子支付服务而必须向乙方输入的敏感信息（包括但不限于银行卡、企业银行账户信息），不得代其他用户或合作伙伴提交订单或发出任何指令。</w:t>
      </w:r>
    </w:p>
    <w:p w14:paraId="0FCBFAB7">
      <w:pPr>
        <w:pStyle w:val="18"/>
        <w:keepNext w:val="0"/>
        <w:keepLines w:val="0"/>
        <w:pageBreakBefore w:val="0"/>
        <w:numPr>
          <w:ilvl w:val="2"/>
          <w:numId w:val="3"/>
        </w:numPr>
        <w:kinsoku/>
        <w:wordWrap/>
        <w:overflowPunct/>
        <w:topLinePunct w:val="0"/>
        <w:bidi w:val="0"/>
        <w:adjustRightInd w:val="0"/>
        <w:snapToGrid/>
        <w:spacing w:before="157" w:beforeLines="50" w:after="157" w:afterLines="50" w:line="360" w:lineRule="auto"/>
        <w:ind w:left="1508" w:hanging="708"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如果由于合作收单银行或机构、国家机关要求乙方停止支付服务时，乙方有权终止与甲方的业务合作。</w:t>
      </w:r>
    </w:p>
    <w:p w14:paraId="3FFFB9E8">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 xml:space="preserve">本协议因甲方原因或因甲方网站交易不符合本协议约定及卡组织规定而被乙方提前解除或者终止的，保证金的返还和扣除仍按本协议执行。</w:t>
      </w:r>
    </w:p>
    <w:p w14:paraId="45883DAD">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本协议期限届满不再续签或按约定提前解除的,所发生的退款、拒付等交易扣款仍应由甲方承担；甲方未结算款不足抵减拒付或退款款项的，甲方应在收到乙方通知后</w:t>
      </w:r>
      <w:r>
        <w:rPr>
          <w:rFonts w:hint="eastAsia" w:ascii="微软雅黑" w:hAnsi="微软雅黑" w:cs="微软雅黑"/>
          <w:color w:val="auto"/>
          <w:sz w:val="18"/>
          <w:szCs w:val="18"/>
          <w:lang w:val="en-US" w:eastAsia="zh-CN"/>
        </w:rPr>
        <w:t>七</w:t>
      </w:r>
      <w:r>
        <w:rPr>
          <w:rFonts w:hint="eastAsia" w:ascii="微软雅黑" w:hAnsi="微软雅黑" w:eastAsia="微软雅黑" w:cs="微软雅黑"/>
          <w:color w:val="auto"/>
          <w:sz w:val="18"/>
          <w:szCs w:val="18"/>
        </w:rPr>
        <w:t>日内将相应的款项支付给乙方，否则，每逾期一日，甲方应当以未归还款项为基数按照日千分之三支付</w:t>
      </w:r>
      <w:r>
        <w:rPr>
          <w:rFonts w:hint="eastAsia" w:ascii="微软雅黑" w:hAnsi="微软雅黑" w:cs="微软雅黑"/>
          <w:color w:val="auto"/>
          <w:sz w:val="18"/>
          <w:szCs w:val="18"/>
          <w:lang w:val="en-US" w:eastAsia="zh-CN"/>
        </w:rPr>
        <w:t>迟延履行</w:t>
      </w:r>
      <w:r>
        <w:rPr>
          <w:rFonts w:hint="eastAsia" w:ascii="微软雅黑" w:hAnsi="微软雅黑" w:eastAsia="微软雅黑" w:cs="微软雅黑"/>
          <w:color w:val="auto"/>
          <w:sz w:val="18"/>
          <w:szCs w:val="18"/>
        </w:rPr>
        <w:t>违约金。</w:t>
      </w:r>
    </w:p>
    <w:p w14:paraId="45378AB0">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甲方同意，本协议终止时，若本协议项下甲方相关付款义务尚未履行完毕或者存在其他潜在交易风险时，乙方有权根据自身风险判断或者卡组织的指示等决定延迟结算，直至甲方履行完毕本协议项下产生的所有付款义务或潜在交易风险消除。</w:t>
      </w:r>
    </w:p>
    <w:p w14:paraId="7C9B3B21">
      <w:pPr>
        <w:keepNext w:val="0"/>
        <w:keepLines w:val="0"/>
        <w:pageBreakBefore w:val="0"/>
        <w:numPr>
          <w:ilvl w:val="0"/>
          <w:numId w:val="3"/>
        </w:numPr>
        <w:kinsoku/>
        <w:wordWrap/>
        <w:overflowPunct/>
        <w:topLinePunct w:val="0"/>
        <w:autoSpaceDE/>
        <w:autoSpaceDN/>
        <w:bidi w:val="0"/>
        <w:adjustRightInd w:val="0"/>
        <w:snapToGrid/>
        <w:spacing w:before="157" w:beforeLines="50" w:after="157" w:afterLines="50" w:line="360" w:lineRule="auto"/>
        <w:ind w:left="425" w:leftChars="0" w:hanging="425" w:firstLineChars="0"/>
        <w:jc w:val="both"/>
        <w:rPr>
          <w:rFonts w:hint="eastAsia" w:ascii="微软雅黑" w:hAnsi="微软雅黑" w:eastAsia="微软雅黑" w:cs="微软雅黑"/>
          <w:b/>
          <w:color w:val="auto"/>
          <w:sz w:val="18"/>
          <w:szCs w:val="18"/>
        </w:rPr>
      </w:pPr>
      <w:r>
        <w:rPr>
          <w:rFonts w:hint="eastAsia" w:ascii="微软雅黑" w:hAnsi="微软雅黑" w:eastAsia="微软雅黑" w:cs="微软雅黑"/>
          <w:b/>
          <w:color w:val="auto"/>
          <w:sz w:val="18"/>
          <w:szCs w:val="18"/>
        </w:rPr>
        <w:t>违约责任与责任限制</w:t>
      </w:r>
    </w:p>
    <w:p w14:paraId="7218C3D5">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一方因违反本协议约定造成另一方损失的，另一方有权请求损害赔偿。</w:t>
      </w:r>
    </w:p>
    <w:p w14:paraId="307DF7D6">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因甲方及其消费者或者用户原因，乙方合作的收单机构、电信、网络、设备及供电故障、不可抗力等乙方以外的其他原因导致乙方不能履行本协议规定义务的，乙方不承担责任。</w:t>
      </w:r>
    </w:p>
    <w:p w14:paraId="5497111F">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本协议中涉及乙方对甲方的消费者、用户或第三方的服务,是乙方对甲方履行合同项下义务的行为, 并不构成对甲方的消费者、用户或第三方的任何承诺,甲方的消费者、用户或第三方不因此而获得对乙方的直接请求权。</w:t>
      </w:r>
    </w:p>
    <w:p w14:paraId="137305A0">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乙方作为支付网络服务商，在履行本协议过程中所涉及的任何情况下，不对甲方的潜在业务机会等间接损失负责。</w:t>
      </w:r>
    </w:p>
    <w:p w14:paraId="4E1AA68B">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因乙方故意或重大过失导致甲方损失的，乙方需就该过失导致的直接损失进行赔偿。</w:t>
      </w:r>
    </w:p>
    <w:p w14:paraId="620AF935">
      <w:pPr>
        <w:keepNext w:val="0"/>
        <w:keepLines w:val="0"/>
        <w:pageBreakBefore w:val="0"/>
        <w:numPr>
          <w:ilvl w:val="0"/>
          <w:numId w:val="3"/>
        </w:numPr>
        <w:kinsoku/>
        <w:wordWrap/>
        <w:overflowPunct/>
        <w:topLinePunct w:val="0"/>
        <w:autoSpaceDE/>
        <w:autoSpaceDN/>
        <w:bidi w:val="0"/>
        <w:adjustRightInd w:val="0"/>
        <w:snapToGrid/>
        <w:spacing w:before="157" w:beforeLines="50" w:after="157" w:afterLines="50" w:line="360" w:lineRule="auto"/>
        <w:ind w:left="425" w:leftChars="0" w:hanging="425" w:firstLineChars="0"/>
        <w:jc w:val="both"/>
        <w:rPr>
          <w:rFonts w:hint="eastAsia" w:ascii="微软雅黑" w:hAnsi="微软雅黑" w:eastAsia="微软雅黑" w:cs="微软雅黑"/>
          <w:b/>
          <w:color w:val="auto"/>
          <w:sz w:val="18"/>
          <w:szCs w:val="18"/>
        </w:rPr>
      </w:pPr>
      <w:r>
        <w:rPr>
          <w:rFonts w:hint="eastAsia" w:ascii="微软雅黑" w:hAnsi="微软雅黑" w:eastAsia="微软雅黑" w:cs="微软雅黑"/>
          <w:b/>
          <w:color w:val="auto"/>
          <w:sz w:val="18"/>
          <w:szCs w:val="18"/>
        </w:rPr>
        <w:t>不可抗力</w:t>
      </w:r>
    </w:p>
    <w:p w14:paraId="0F835BEF">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本协议所称“不可抗力”是指在本协议签订后发生的、一方无法预见、无法避免或无法克服的客观情况。包括但不限于水灾、火灾、旱灾、台风、地震、瘟疫及其它自然灾害，罢工、骚动、暴乱及战争（不论宣战与否）以及政府部门的作为或不作为。</w:t>
      </w:r>
    </w:p>
    <w:p w14:paraId="117F1430">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鉴于网络所具有之特殊性，本协议项下的不可抗力还包括但不限于黑客恶意攻击，现有正常安全手段无法预防的计算机病毒侵入及发作，大规模新型病毒的爆发、电力故障或政府限制性供电等外来原因断电等影响网络正常经营的情形。</w:t>
      </w:r>
    </w:p>
    <w:p w14:paraId="6E4DB98C">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因受不可抗力影响而不能履行或不能完全履行本协议的，一方可以部分或全部免除其责任。</w:t>
      </w:r>
      <w:r>
        <w:rPr>
          <w:rFonts w:hint="eastAsia" w:ascii="微软雅黑" w:hAnsi="微软雅黑" w:cs="微软雅黑"/>
          <w:color w:val="auto"/>
          <w:sz w:val="18"/>
          <w:szCs w:val="18"/>
        </w:rPr>
        <w:t>一方因不可抗力不能履行合同的，应当在5个工作日内通知对方并提供相应证据证明，以减轻可能给对方造成的损失。若受影响一方当事人未尽通知义务的，应就对方扩大的损失承担过错赔偿责任。当事人迟延履行后发生不可抗力的，不免除其违约责任。</w:t>
      </w:r>
    </w:p>
    <w:p w14:paraId="38A6A681">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不可抗力发生后，甲乙双方须竭尽全力消除或降低不利影响，并可协商继续履行或终止本协议。</w:t>
      </w:r>
    </w:p>
    <w:p w14:paraId="72D605C6">
      <w:pPr>
        <w:keepNext w:val="0"/>
        <w:keepLines w:val="0"/>
        <w:pageBreakBefore w:val="0"/>
        <w:numPr>
          <w:ilvl w:val="0"/>
          <w:numId w:val="3"/>
        </w:numPr>
        <w:kinsoku/>
        <w:wordWrap/>
        <w:overflowPunct/>
        <w:topLinePunct w:val="0"/>
        <w:autoSpaceDE/>
        <w:autoSpaceDN/>
        <w:bidi w:val="0"/>
        <w:adjustRightInd w:val="0"/>
        <w:snapToGrid/>
        <w:spacing w:before="157" w:beforeLines="50" w:after="157" w:afterLines="50" w:line="360" w:lineRule="auto"/>
        <w:ind w:left="425" w:leftChars="0" w:hanging="425" w:firstLineChars="0"/>
        <w:jc w:val="both"/>
        <w:rPr>
          <w:rFonts w:hint="eastAsia" w:ascii="微软雅黑" w:hAnsi="微软雅黑" w:eastAsia="微软雅黑" w:cs="微软雅黑"/>
          <w:b/>
          <w:color w:val="auto"/>
          <w:sz w:val="18"/>
          <w:szCs w:val="18"/>
        </w:rPr>
      </w:pPr>
      <w:r>
        <w:rPr>
          <w:rFonts w:hint="eastAsia" w:ascii="微软雅黑" w:hAnsi="微软雅黑" w:eastAsia="微软雅黑" w:cs="微软雅黑"/>
          <w:b/>
          <w:color w:val="auto"/>
          <w:sz w:val="18"/>
          <w:szCs w:val="18"/>
        </w:rPr>
        <w:t>适用及管辖</w:t>
      </w:r>
    </w:p>
    <w:p w14:paraId="012BB094">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本协议及附件的定义、解释、履行、效力均适用中华人民共和国法律，本协议履行地为</w:t>
      </w:r>
      <w:r>
        <w:rPr>
          <w:rFonts w:hint="eastAsia" w:ascii="微软雅黑" w:hAnsi="微软雅黑" w:cs="微软雅黑"/>
          <w:color w:val="auto"/>
          <w:sz w:val="18"/>
          <w:szCs w:val="18"/>
          <w:lang w:val="en-US" w:eastAsia="zh-CN"/>
        </w:rPr>
        <w:t>香港</w:t>
      </w:r>
      <w:r>
        <w:rPr>
          <w:rFonts w:hint="eastAsia" w:ascii="微软雅黑" w:hAnsi="微软雅黑" w:eastAsia="微软雅黑" w:cs="微软雅黑"/>
          <w:color w:val="auto"/>
          <w:sz w:val="18"/>
          <w:szCs w:val="18"/>
        </w:rPr>
        <w:t>。</w:t>
      </w:r>
    </w:p>
    <w:p w14:paraId="42D0B882">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甲乙双方应以友好协商方式解决本协议履行过程中产生的争议，经协商无法解决争议时，任一方均可向协议履行地的有管辖权的法院提起诉讼。</w:t>
      </w:r>
      <w:r>
        <w:rPr>
          <w:rFonts w:hint="eastAsia" w:ascii="微软雅黑" w:hAnsi="微软雅黑" w:eastAsia="微软雅黑" w:cs="微软雅黑"/>
          <w:color w:val="auto"/>
          <w:sz w:val="18"/>
          <w:szCs w:val="18"/>
        </w:rPr>
        <w:tab/>
      </w:r>
    </w:p>
    <w:p w14:paraId="70B3CF64">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本协议签订后，除新实施法律法规作出明确规定的外，新实施法规对本协议不具有溯及力。因协议签订后国家法律法规、监管政策变更而导致本协议的部分或者全部条款无效或无法实施时，甲乙双方可根据相关法律法规规定变更情况，对本协议进行修改或补充。如双方无法达成变更、补充协议，双方均不构成违约。</w:t>
      </w:r>
    </w:p>
    <w:p w14:paraId="5C0FE591">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bookmarkStart w:id="0" w:name="_Toc497374439"/>
      <w:bookmarkStart w:id="1" w:name="_Toc401910044"/>
      <w:bookmarkStart w:id="2" w:name="_Toc508490426"/>
      <w:bookmarkStart w:id="3" w:name="_Toc503565829"/>
      <w:bookmarkStart w:id="4" w:name="_Toc401869903"/>
      <w:bookmarkStart w:id="5" w:name="_Toc401853804"/>
      <w:bookmarkStart w:id="6" w:name="_Toc401909950"/>
      <w:bookmarkStart w:id="7" w:name="_Toc501375242"/>
      <w:r>
        <w:rPr>
          <w:rFonts w:hint="eastAsia" w:ascii="微软雅黑" w:hAnsi="微软雅黑" w:eastAsia="微软雅黑" w:cs="微软雅黑"/>
          <w:color w:val="auto"/>
          <w:sz w:val="18"/>
          <w:szCs w:val="18"/>
        </w:rPr>
        <w:t>通知</w:t>
      </w:r>
      <w:bookmarkEnd w:id="0"/>
      <w:bookmarkEnd w:id="1"/>
      <w:bookmarkEnd w:id="2"/>
      <w:bookmarkEnd w:id="3"/>
      <w:bookmarkEnd w:id="4"/>
      <w:bookmarkEnd w:id="5"/>
      <w:bookmarkEnd w:id="6"/>
      <w:bookmarkEnd w:id="7"/>
    </w:p>
    <w:p w14:paraId="7AE70D85">
      <w:pPr>
        <w:pStyle w:val="18"/>
        <w:keepNext w:val="0"/>
        <w:keepLines w:val="0"/>
        <w:pageBreakBefore w:val="0"/>
        <w:kinsoku/>
        <w:wordWrap/>
        <w:overflowPunct/>
        <w:topLinePunct w:val="0"/>
        <w:autoSpaceDE/>
        <w:autoSpaceDN/>
        <w:bidi w:val="0"/>
        <w:adjustRightInd w:val="0"/>
        <w:snapToGrid/>
        <w:spacing w:before="157" w:beforeLines="50" w:after="157" w:afterLines="50" w:line="360" w:lineRule="auto"/>
        <w:ind w:left="839" w:firstLine="0"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本协议项下要求或发出的所有通知和其他通信应通过专人递送、快递、挂号信、电子邮件方式发到对方下列联系人处。该等通知视为有效送达的日期按如下方式确定。通知如果是以专人递送、快递或挂号邮寄发出的，则以于设定为通知的地址在签收或拒收之日为有效送达日。通知如果是以电子邮件发出的，则以在邮件系统显示被通知人实际收到时视为送达。为通知的目的，各方的联系方式如下：</w:t>
      </w:r>
    </w:p>
    <w:p w14:paraId="0B1D04C2">
      <w:pPr>
        <w:pStyle w:val="18"/>
        <w:keepNext w:val="0"/>
        <w:keepLines w:val="0"/>
        <w:pageBreakBefore w:val="0"/>
        <w:numPr>
          <w:ilvl w:val="2"/>
          <w:numId w:val="3"/>
        </w:numPr>
        <w:kinsoku/>
        <w:wordWrap/>
        <w:overflowPunct/>
        <w:topLinePunct w:val="0"/>
        <w:bidi w:val="0"/>
        <w:snapToGrid/>
        <w:spacing w:before="157" w:beforeLines="50" w:after="157" w:afterLines="50" w:line="360" w:lineRule="auto"/>
        <w:ind w:left="1508" w:leftChars="0" w:hanging="708" w:firstLineChars="0"/>
        <w:jc w:val="both"/>
        <w:rPr>
          <w:rFonts w:hint="eastAsia" w:ascii="微软雅黑" w:hAnsi="微软雅黑" w:eastAsia="微软雅黑" w:cs="微软雅黑"/>
          <w:bCs/>
          <w:color w:val="auto"/>
          <w:sz w:val="18"/>
          <w:szCs w:val="18"/>
        </w:rPr>
      </w:pPr>
      <w:r>
        <w:rPr>
          <w:rFonts w:hint="eastAsia" w:ascii="微软雅黑" w:hAnsi="微软雅黑" w:eastAsia="微软雅黑" w:cs="微软雅黑"/>
          <w:bCs/>
          <w:color w:val="auto"/>
          <w:sz w:val="18"/>
          <w:szCs w:val="18"/>
        </w:rPr>
        <w:t>若发给乙方：</w:t>
      </w:r>
    </w:p>
    <w:p w14:paraId="7C7B8014">
      <w:pPr>
        <w:pStyle w:val="18"/>
        <w:keepNext w:val="0"/>
        <w:keepLines w:val="0"/>
        <w:pageBreakBefore w:val="0"/>
        <w:numPr>
          <w:ilvl w:val="255"/>
          <w:numId w:val="0"/>
        </w:numPr>
        <w:kinsoku/>
        <w:wordWrap/>
        <w:overflowPunct/>
        <w:topLinePunct w:val="0"/>
        <w:bidi w:val="0"/>
        <w:snapToGrid/>
        <w:spacing w:before="157" w:beforeLines="50" w:after="157" w:afterLines="50" w:line="360" w:lineRule="auto"/>
        <w:ind w:left="630" w:leftChars="300"/>
        <w:jc w:val="both"/>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rPr>
        <w:t>地址</w:t>
      </w:r>
      <w:r>
        <w:rPr>
          <w:rFonts w:hint="eastAsia" w:ascii="微软雅黑" w:hAnsi="微软雅黑" w:cs="微软雅黑"/>
          <w:bCs/>
          <w:color w:val="auto"/>
          <w:sz w:val="18"/>
          <w:szCs w:val="18"/>
          <w:lang w:eastAsia="zh-CN"/>
        </w:rPr>
        <w:t>：</w:t>
      </w:r>
    </w:p>
    <w:p w14:paraId="238FAF2F">
      <w:pPr>
        <w:pStyle w:val="18"/>
        <w:keepNext w:val="0"/>
        <w:keepLines w:val="0"/>
        <w:pageBreakBefore w:val="0"/>
        <w:numPr>
          <w:ilvl w:val="255"/>
          <w:numId w:val="0"/>
        </w:numPr>
        <w:kinsoku/>
        <w:wordWrap/>
        <w:overflowPunct/>
        <w:topLinePunct w:val="0"/>
        <w:bidi w:val="0"/>
        <w:snapToGrid/>
        <w:spacing w:before="157" w:beforeLines="50" w:after="157" w:afterLines="50" w:line="360" w:lineRule="auto"/>
        <w:ind w:left="630" w:leftChars="300"/>
        <w:jc w:val="both"/>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rPr>
        <w:t>电话</w:t>
      </w:r>
      <w:r>
        <w:rPr>
          <w:rFonts w:hint="eastAsia" w:ascii="微软雅黑" w:hAnsi="微软雅黑" w:cs="微软雅黑"/>
          <w:bCs/>
          <w:color w:val="auto"/>
          <w:sz w:val="18"/>
          <w:szCs w:val="18"/>
          <w:lang w:eastAsia="zh-CN"/>
        </w:rPr>
        <w:t>：</w:t>
      </w:r>
    </w:p>
    <w:p w14:paraId="461A06F3">
      <w:pPr>
        <w:pStyle w:val="18"/>
        <w:keepNext w:val="0"/>
        <w:keepLines w:val="0"/>
        <w:pageBreakBefore w:val="0"/>
        <w:numPr>
          <w:ilvl w:val="255"/>
          <w:numId w:val="0"/>
        </w:numPr>
        <w:kinsoku/>
        <w:wordWrap/>
        <w:overflowPunct/>
        <w:topLinePunct w:val="0"/>
        <w:bidi w:val="0"/>
        <w:snapToGrid/>
        <w:spacing w:before="157" w:beforeLines="50" w:after="157" w:afterLines="50" w:line="360" w:lineRule="auto"/>
        <w:ind w:left="630" w:leftChars="300"/>
        <w:jc w:val="both"/>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rPr>
        <w:t>邮箱</w:t>
      </w:r>
      <w:r>
        <w:rPr>
          <w:rFonts w:hint="eastAsia" w:ascii="微软雅黑" w:hAnsi="微软雅黑" w:cs="微软雅黑"/>
          <w:bCs/>
          <w:color w:val="auto"/>
          <w:sz w:val="18"/>
          <w:szCs w:val="18"/>
          <w:lang w:eastAsia="zh-CN"/>
        </w:rPr>
        <w:t>：</w:t>
      </w:r>
    </w:p>
    <w:p w14:paraId="08C0EDA9">
      <w:pPr>
        <w:keepNext w:val="0"/>
        <w:keepLines w:val="0"/>
        <w:pageBreakBefore w:val="0"/>
        <w:kinsoku/>
        <w:wordWrap/>
        <w:overflowPunct/>
        <w:topLinePunct w:val="0"/>
        <w:autoSpaceDE/>
        <w:autoSpaceDN/>
        <w:bidi w:val="0"/>
        <w:adjustRightInd w:val="0"/>
        <w:snapToGrid/>
        <w:spacing w:before="157" w:beforeLines="50" w:after="157" w:afterLines="50" w:line="360" w:lineRule="auto"/>
        <w:ind w:left="630"/>
        <w:jc w:val="both"/>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rPr>
        <w:t>联系人</w:t>
      </w:r>
      <w:r>
        <w:rPr>
          <w:rFonts w:hint="eastAsia" w:ascii="微软雅黑" w:hAnsi="微软雅黑" w:cs="微软雅黑"/>
          <w:bCs/>
          <w:color w:val="auto"/>
          <w:sz w:val="18"/>
          <w:szCs w:val="18"/>
          <w:lang w:eastAsia="zh-CN"/>
        </w:rPr>
        <w:t>：</w:t>
      </w:r>
    </w:p>
    <w:p w14:paraId="1FED8F07">
      <w:pPr>
        <w:keepNext w:val="0"/>
        <w:keepLines w:val="0"/>
        <w:pageBreakBefore w:val="0"/>
        <w:kinsoku/>
        <w:wordWrap/>
        <w:overflowPunct/>
        <w:topLinePunct w:val="0"/>
        <w:autoSpaceDE/>
        <w:autoSpaceDN/>
        <w:bidi w:val="0"/>
        <w:adjustRightInd w:val="0"/>
        <w:snapToGrid/>
        <w:spacing w:before="157" w:beforeLines="50" w:after="157" w:afterLines="50" w:line="360" w:lineRule="auto"/>
        <w:jc w:val="both"/>
        <w:rPr>
          <w:rFonts w:hint="eastAsia" w:ascii="微软雅黑" w:hAnsi="微软雅黑" w:eastAsia="微软雅黑" w:cs="微软雅黑"/>
          <w:bCs/>
          <w:color w:val="auto"/>
          <w:sz w:val="18"/>
          <w:szCs w:val="18"/>
        </w:rPr>
      </w:pPr>
    </w:p>
    <w:p w14:paraId="6D077E2F">
      <w:pPr>
        <w:keepNext w:val="0"/>
        <w:keepLines w:val="0"/>
        <w:pageBreakBefore w:val="0"/>
        <w:numPr>
          <w:ilvl w:val="2"/>
          <w:numId w:val="3"/>
        </w:numPr>
        <w:kinsoku/>
        <w:wordWrap/>
        <w:overflowPunct/>
        <w:topLinePunct w:val="0"/>
        <w:autoSpaceDE/>
        <w:autoSpaceDN/>
        <w:bidi w:val="0"/>
        <w:adjustRightInd w:val="0"/>
        <w:snapToGrid/>
        <w:spacing w:before="157" w:beforeLines="50" w:after="157" w:afterLines="50" w:line="360" w:lineRule="auto"/>
        <w:ind w:left="1508" w:leftChars="0" w:hanging="708"/>
        <w:jc w:val="both"/>
        <w:rPr>
          <w:rFonts w:hint="eastAsia" w:ascii="微软雅黑" w:hAnsi="微软雅黑" w:eastAsia="微软雅黑" w:cs="微软雅黑"/>
          <w:bCs/>
          <w:color w:val="auto"/>
          <w:sz w:val="18"/>
          <w:szCs w:val="18"/>
        </w:rPr>
      </w:pPr>
      <w:r>
        <w:rPr>
          <w:rFonts w:hint="eastAsia" w:ascii="微软雅黑" w:hAnsi="微软雅黑" w:eastAsia="微软雅黑" w:cs="微软雅黑"/>
          <w:bCs/>
          <w:color w:val="auto"/>
          <w:sz w:val="18"/>
          <w:szCs w:val="18"/>
        </w:rPr>
        <w:t>若发给甲方：</w:t>
      </w:r>
    </w:p>
    <w:p w14:paraId="779B86DF">
      <w:pPr>
        <w:pStyle w:val="18"/>
        <w:keepNext w:val="0"/>
        <w:keepLines w:val="0"/>
        <w:pageBreakBefore w:val="0"/>
        <w:kinsoku/>
        <w:wordWrap/>
        <w:overflowPunct/>
        <w:topLinePunct w:val="0"/>
        <w:bidi w:val="0"/>
        <w:snapToGrid/>
        <w:spacing w:before="157" w:beforeLines="50" w:after="157" w:afterLines="50" w:line="360" w:lineRule="auto"/>
        <w:ind w:left="630" w:firstLine="0" w:firstLineChars="0"/>
        <w:jc w:val="both"/>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rPr>
        <w:t>地址</w:t>
      </w:r>
      <w:r>
        <w:rPr>
          <w:rFonts w:hint="eastAsia" w:ascii="微软雅黑" w:hAnsi="微软雅黑" w:cs="微软雅黑"/>
          <w:bCs/>
          <w:color w:val="auto"/>
          <w:sz w:val="18"/>
          <w:szCs w:val="18"/>
          <w:lang w:eastAsia="zh-CN"/>
        </w:rPr>
        <w:t>：</w:t>
      </w:r>
    </w:p>
    <w:p w14:paraId="44605BEF">
      <w:pPr>
        <w:pStyle w:val="18"/>
        <w:keepNext w:val="0"/>
        <w:keepLines w:val="0"/>
        <w:pageBreakBefore w:val="0"/>
        <w:kinsoku/>
        <w:wordWrap/>
        <w:overflowPunct/>
        <w:topLinePunct w:val="0"/>
        <w:bidi w:val="0"/>
        <w:snapToGrid/>
        <w:spacing w:before="157" w:beforeLines="50" w:after="157" w:afterLines="50" w:line="360" w:lineRule="auto"/>
        <w:ind w:left="630" w:firstLine="0" w:firstLineChars="0"/>
        <w:jc w:val="both"/>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rPr>
        <w:t>电话</w:t>
      </w:r>
      <w:r>
        <w:rPr>
          <w:rFonts w:hint="eastAsia" w:ascii="微软雅黑" w:hAnsi="微软雅黑" w:cs="微软雅黑"/>
          <w:bCs/>
          <w:color w:val="auto"/>
          <w:sz w:val="18"/>
          <w:szCs w:val="18"/>
          <w:lang w:eastAsia="zh-CN"/>
        </w:rPr>
        <w:t>：</w:t>
      </w:r>
    </w:p>
    <w:p w14:paraId="4FEA6F75">
      <w:pPr>
        <w:pStyle w:val="18"/>
        <w:keepNext w:val="0"/>
        <w:keepLines w:val="0"/>
        <w:pageBreakBefore w:val="0"/>
        <w:kinsoku/>
        <w:wordWrap/>
        <w:overflowPunct/>
        <w:topLinePunct w:val="0"/>
        <w:bidi w:val="0"/>
        <w:snapToGrid/>
        <w:spacing w:before="157" w:beforeLines="50" w:after="157" w:afterLines="50" w:line="360" w:lineRule="auto"/>
        <w:ind w:left="630" w:firstLine="0" w:firstLineChars="0"/>
        <w:jc w:val="both"/>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rPr>
        <w:t>邮箱</w:t>
      </w:r>
      <w:r>
        <w:rPr>
          <w:rFonts w:hint="eastAsia" w:ascii="微软雅黑" w:hAnsi="微软雅黑" w:cs="微软雅黑"/>
          <w:bCs/>
          <w:color w:val="auto"/>
          <w:sz w:val="18"/>
          <w:szCs w:val="18"/>
          <w:lang w:eastAsia="zh-CN"/>
        </w:rPr>
        <w:t>：</w:t>
      </w:r>
    </w:p>
    <w:p w14:paraId="176CEFA5">
      <w:pPr>
        <w:pStyle w:val="29"/>
        <w:keepNext w:val="0"/>
        <w:keepLines w:val="0"/>
        <w:pageBreakBefore w:val="0"/>
        <w:kinsoku/>
        <w:wordWrap/>
        <w:overflowPunct/>
        <w:topLinePunct w:val="0"/>
        <w:autoSpaceDE/>
        <w:autoSpaceDN/>
        <w:bidi w:val="0"/>
        <w:adjustRightInd w:val="0"/>
        <w:snapToGrid/>
        <w:spacing w:before="157" w:beforeLines="50" w:after="157" w:afterLines="50" w:line="360" w:lineRule="auto"/>
        <w:ind w:left="420" w:firstLine="180" w:firstLineChars="100"/>
        <w:jc w:val="both"/>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rPr>
        <w:t>联系人</w:t>
      </w:r>
      <w:r>
        <w:rPr>
          <w:rFonts w:hint="eastAsia" w:ascii="微软雅黑" w:hAnsi="微软雅黑" w:cs="微软雅黑"/>
          <w:bCs/>
          <w:color w:val="auto"/>
          <w:sz w:val="18"/>
          <w:szCs w:val="18"/>
          <w:lang w:eastAsia="zh-CN"/>
        </w:rPr>
        <w:t>：</w:t>
      </w:r>
    </w:p>
    <w:p w14:paraId="0D77FC27">
      <w:pPr>
        <w:pStyle w:val="18"/>
        <w:keepNext w:val="0"/>
        <w:keepLines w:val="0"/>
        <w:pageBreakBefore w:val="0"/>
        <w:kinsoku/>
        <w:wordWrap/>
        <w:overflowPunct/>
        <w:topLinePunct w:val="0"/>
        <w:bidi w:val="0"/>
        <w:snapToGrid/>
        <w:spacing w:before="157" w:beforeLines="50" w:after="157" w:afterLines="50" w:line="360" w:lineRule="auto"/>
        <w:ind w:left="630" w:leftChars="300" w:firstLine="0" w:firstLineChars="0"/>
        <w:jc w:val="both"/>
        <w:rPr>
          <w:rFonts w:hint="eastAsia" w:ascii="微软雅黑" w:hAnsi="微软雅黑" w:eastAsia="微软雅黑" w:cs="微软雅黑"/>
          <w:bCs/>
          <w:color w:val="auto"/>
          <w:sz w:val="18"/>
          <w:szCs w:val="18"/>
        </w:rPr>
      </w:pPr>
    </w:p>
    <w:p w14:paraId="2B4E166A">
      <w:pPr>
        <w:pStyle w:val="18"/>
        <w:keepNext w:val="0"/>
        <w:keepLines w:val="0"/>
        <w:pageBreakBefore w:val="0"/>
        <w:kinsoku/>
        <w:wordWrap/>
        <w:overflowPunct/>
        <w:topLinePunct w:val="0"/>
        <w:bidi w:val="0"/>
        <w:snapToGrid/>
        <w:spacing w:before="157" w:beforeLines="50" w:after="157" w:afterLines="50" w:line="360" w:lineRule="auto"/>
        <w:ind w:left="630" w:leftChars="300" w:firstLine="0" w:firstLineChars="0"/>
        <w:jc w:val="both"/>
        <w:rPr>
          <w:rFonts w:hint="eastAsia" w:ascii="微软雅黑" w:hAnsi="微软雅黑" w:eastAsia="微软雅黑" w:cs="微软雅黑"/>
          <w:b/>
          <w:color w:val="auto"/>
          <w:sz w:val="18"/>
          <w:szCs w:val="18"/>
        </w:rPr>
      </w:pPr>
      <w:r>
        <w:rPr>
          <w:rFonts w:hint="eastAsia" w:ascii="微软雅黑" w:hAnsi="微软雅黑" w:eastAsia="微软雅黑" w:cs="微软雅黑"/>
          <w:bCs/>
          <w:color w:val="auto"/>
          <w:sz w:val="18"/>
          <w:szCs w:val="18"/>
        </w:rPr>
        <w:t>各方同意，任一方的上述联系方式发生变更的，应在变更后十五天或其他合理时间内尽快书面通知其他方。各方进一步明确，上述通讯地址和联系方式（包括经书面通知变更后的地址和联系方式）作为各方履行合同、解决合同争议时接收相关商业信函或诉讼相关文件的约定地址和联系方式。</w:t>
      </w:r>
    </w:p>
    <w:p w14:paraId="0214F6D1">
      <w:pPr>
        <w:keepNext w:val="0"/>
        <w:keepLines w:val="0"/>
        <w:pageBreakBefore w:val="0"/>
        <w:numPr>
          <w:ilvl w:val="0"/>
          <w:numId w:val="3"/>
        </w:numPr>
        <w:kinsoku/>
        <w:wordWrap/>
        <w:overflowPunct/>
        <w:topLinePunct w:val="0"/>
        <w:autoSpaceDE/>
        <w:autoSpaceDN/>
        <w:bidi w:val="0"/>
        <w:adjustRightInd w:val="0"/>
        <w:snapToGrid/>
        <w:spacing w:before="157" w:beforeLines="50" w:after="157" w:afterLines="50" w:line="360" w:lineRule="auto"/>
        <w:ind w:left="425" w:leftChars="0" w:hanging="425" w:firstLineChars="0"/>
        <w:jc w:val="both"/>
        <w:rPr>
          <w:rFonts w:hint="eastAsia" w:ascii="微软雅黑" w:hAnsi="微软雅黑" w:eastAsia="微软雅黑" w:cs="微软雅黑"/>
          <w:b/>
          <w:color w:val="auto"/>
          <w:sz w:val="18"/>
          <w:szCs w:val="18"/>
        </w:rPr>
      </w:pPr>
      <w:r>
        <w:rPr>
          <w:rFonts w:hint="eastAsia" w:ascii="微软雅黑" w:hAnsi="微软雅黑" w:eastAsia="微软雅黑" w:cs="微软雅黑"/>
          <w:b/>
          <w:color w:val="auto"/>
          <w:sz w:val="18"/>
          <w:szCs w:val="18"/>
        </w:rPr>
        <w:t>文件效力</w:t>
      </w:r>
    </w:p>
    <w:p w14:paraId="717F2BAB">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本协议一式三份，</w:t>
      </w:r>
      <w:r>
        <w:rPr>
          <w:rFonts w:hint="eastAsia" w:ascii="微软雅黑" w:hAnsi="微软雅黑" w:cs="微软雅黑"/>
          <w:color w:val="auto"/>
          <w:sz w:val="18"/>
          <w:szCs w:val="18"/>
          <w:lang w:val="en-US" w:eastAsia="zh-CN"/>
        </w:rPr>
        <w:t>甲方保留一份，乙方保留两份，</w:t>
      </w:r>
      <w:r>
        <w:rPr>
          <w:rFonts w:hint="eastAsia" w:ascii="微软雅黑" w:hAnsi="微软雅黑" w:eastAsia="微软雅黑" w:cs="微软雅黑"/>
          <w:color w:val="auto"/>
          <w:sz w:val="18"/>
          <w:szCs w:val="18"/>
        </w:rPr>
        <w:t>每份协议效力等同且一致；本协议未尽事宜，双方可订立书面补充协议，补充协议与本协议具有同等法律效力，补充协议与本协议约定不一致的，以补充协议约定为准。本协议的任何补充和修改仅能以甲乙双方签章的书面文件进行。</w:t>
      </w:r>
    </w:p>
    <w:p w14:paraId="37FFECC8">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双方同意，通过双方认可的方式在线上达成合意并订立的电子合同与纸质合同具有同等效力。</w:t>
      </w:r>
    </w:p>
    <w:p w14:paraId="7BBF2894">
      <w:pPr>
        <w:pStyle w:val="18"/>
        <w:keepNext w:val="0"/>
        <w:keepLines w:val="0"/>
        <w:pageBreakBefore w:val="0"/>
        <w:numPr>
          <w:ilvl w:val="1"/>
          <w:numId w:val="3"/>
        </w:numPr>
        <w:kinsoku/>
        <w:wordWrap/>
        <w:overflowPunct/>
        <w:topLinePunct w:val="0"/>
        <w:autoSpaceDE/>
        <w:autoSpaceDN/>
        <w:bidi w:val="0"/>
        <w:adjustRightInd w:val="0"/>
        <w:snapToGrid/>
        <w:spacing w:before="157" w:beforeLines="50" w:after="157" w:afterLines="50" w:line="360" w:lineRule="auto"/>
        <w:ind w:left="850" w:hanging="453" w:firstLineChars="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本协议附件以及补充协议是本协议的组成部分，和本协议具有同等法律效力。</w:t>
      </w:r>
    </w:p>
    <w:p w14:paraId="2E9B7568">
      <w:pPr>
        <w:keepNext w:val="0"/>
        <w:keepLines w:val="0"/>
        <w:pageBreakBefore w:val="0"/>
        <w:kinsoku/>
        <w:wordWrap/>
        <w:overflowPunct/>
        <w:topLinePunct w:val="0"/>
        <w:autoSpaceDE/>
        <w:autoSpaceDN/>
        <w:bidi w:val="0"/>
        <w:adjustRightInd w:val="0"/>
        <w:snapToGrid/>
        <w:spacing w:before="157" w:beforeLines="50" w:after="157" w:afterLines="50" w:line="360" w:lineRule="auto"/>
        <w:ind w:firstLineChars="0"/>
        <w:jc w:val="both"/>
        <w:rPr>
          <w:rFonts w:hint="eastAsia" w:ascii="微软雅黑" w:hAnsi="微软雅黑" w:eastAsia="微软雅黑" w:cs="微软雅黑"/>
          <w:b/>
          <w:color w:val="auto"/>
          <w:sz w:val="18"/>
          <w:szCs w:val="18"/>
        </w:rPr>
      </w:pPr>
      <w:r>
        <w:rPr>
          <w:rFonts w:hint="eastAsia" w:ascii="微软雅黑" w:hAnsi="微软雅黑" w:eastAsia="微软雅黑" w:cs="微软雅黑"/>
          <w:color w:val="auto"/>
          <w:sz w:val="18"/>
          <w:szCs w:val="18"/>
        </w:rPr>
        <w:br w:type="page"/>
      </w:r>
      <w:r>
        <w:rPr>
          <w:rFonts w:hint="eastAsia" w:ascii="微软雅黑" w:hAnsi="微软雅黑" w:eastAsia="微软雅黑" w:cs="微软雅黑"/>
          <w:b/>
          <w:color w:val="auto"/>
          <w:sz w:val="18"/>
          <w:szCs w:val="18"/>
        </w:rPr>
        <w:t>附件一</w:t>
      </w:r>
      <w:r>
        <w:rPr>
          <w:rFonts w:hint="eastAsia" w:ascii="微软雅黑" w:hAnsi="微软雅黑" w:cs="微软雅黑"/>
          <w:b/>
          <w:color w:val="auto"/>
          <w:sz w:val="18"/>
          <w:szCs w:val="18"/>
          <w:lang w:val="en-US" w:eastAsia="zh-CN"/>
        </w:rPr>
        <w:t xml:space="preserve">   </w:t>
      </w:r>
      <w:r>
        <w:rPr>
          <w:rFonts w:hint="eastAsia" w:ascii="微软雅黑" w:hAnsi="微软雅黑" w:eastAsia="微软雅黑" w:cs="微软雅黑"/>
          <w:b/>
          <w:color w:val="auto"/>
          <w:sz w:val="18"/>
          <w:szCs w:val="18"/>
        </w:rPr>
        <w:t>反洗钱协议</w:t>
      </w:r>
    </w:p>
    <w:p w14:paraId="189C74E3">
      <w:pPr>
        <w:pStyle w:val="18"/>
        <w:keepNext w:val="0"/>
        <w:keepLines w:val="0"/>
        <w:pageBreakBefore w:val="0"/>
        <w:kinsoku/>
        <w:wordWrap/>
        <w:overflowPunct/>
        <w:topLinePunct w:val="0"/>
        <w:autoSpaceDE/>
        <w:autoSpaceDN/>
        <w:bidi w:val="0"/>
        <w:adjustRightInd w:val="0"/>
        <w:snapToGrid/>
        <w:spacing w:before="0" w:beforeLines="0" w:after="0" w:afterLines="0" w:line="360" w:lineRule="auto"/>
        <w:jc w:val="both"/>
        <w:rPr>
          <w:rFonts w:hint="eastAsia" w:ascii="微软雅黑" w:hAnsi="微软雅黑" w:eastAsia="微软雅黑" w:cs="微软雅黑"/>
          <w:bCs/>
          <w:color w:val="auto"/>
          <w:sz w:val="18"/>
          <w:szCs w:val="18"/>
        </w:rPr>
      </w:pPr>
      <w:r>
        <w:rPr>
          <w:rFonts w:hint="eastAsia" w:ascii="微软雅黑" w:hAnsi="微软雅黑" w:eastAsia="微软雅黑" w:cs="微软雅黑"/>
          <w:color w:val="auto"/>
          <w:sz w:val="18"/>
          <w:szCs w:val="18"/>
        </w:rPr>
        <w:t>甲方：</w:t>
      </w:r>
      <w:r>
        <w:rPr>
          <w:rFonts w:hint="eastAsia" w:ascii="微软雅黑" w:hAnsi="微软雅黑" w:eastAsia="微软雅黑" w:cs="微软雅黑"/>
          <w:bCs/>
          <w:color w:val="auto"/>
          <w:sz w:val="18"/>
          <w:szCs w:val="18"/>
        </w:rPr>
        <w:t xml:space="preserve">      </w:t>
      </w:r>
      <w:r>
        <w:rPr>
          <w:rFonts w:hint="eastAsia" w:ascii="微软雅黑" w:hAnsi="微软雅黑" w:eastAsia="微软雅黑" w:cs="微软雅黑"/>
          <w:color w:val="auto"/>
          <w:sz w:val="18"/>
          <w:szCs w:val="18"/>
        </w:rPr>
        <w:t xml:space="preserve"> </w:t>
      </w:r>
    </w:p>
    <w:p w14:paraId="104607E7">
      <w:pPr>
        <w:pStyle w:val="18"/>
        <w:keepNext w:val="0"/>
        <w:keepLines w:val="0"/>
        <w:pageBreakBefore w:val="0"/>
        <w:kinsoku/>
        <w:wordWrap/>
        <w:overflowPunct/>
        <w:topLinePunct w:val="0"/>
        <w:autoSpaceDE/>
        <w:autoSpaceDN/>
        <w:bidi w:val="0"/>
        <w:adjustRightInd w:val="0"/>
        <w:snapToGrid/>
        <w:spacing w:before="0" w:beforeLines="0" w:after="0" w:afterLines="0" w:line="360" w:lineRule="auto"/>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乙方：</w:t>
      </w:r>
    </w:p>
    <w:p w14:paraId="44146DB4">
      <w:pPr>
        <w:pStyle w:val="18"/>
        <w:keepNext w:val="0"/>
        <w:keepLines w:val="0"/>
        <w:pageBreakBefore w:val="0"/>
        <w:kinsoku/>
        <w:wordWrap/>
        <w:overflowPunct/>
        <w:topLinePunct w:val="0"/>
        <w:autoSpaceDE/>
        <w:autoSpaceDN/>
        <w:bidi w:val="0"/>
        <w:adjustRightInd w:val="0"/>
        <w:snapToGrid/>
        <w:spacing w:before="157" w:beforeLines="50" w:after="157" w:afterLines="50" w:line="360" w:lineRule="auto"/>
        <w:ind w:firstLine="540" w:firstLineChars="30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根据《中华人民共和国刑法》《中华人民共和国反洗钱法》以及香港地区反洗钱法律法规的规定，甲乙双方经友好协商，共同遵守以下约定</w:t>
      </w:r>
      <w:r>
        <w:rPr>
          <w:rFonts w:hint="eastAsia" w:ascii="微软雅黑" w:hAnsi="微软雅黑" w:cs="微软雅黑"/>
          <w:color w:val="auto"/>
          <w:sz w:val="18"/>
          <w:szCs w:val="18"/>
          <w:lang w:eastAsia="zh-CN"/>
        </w:rPr>
        <w:t>：</w:t>
      </w:r>
    </w:p>
    <w:p w14:paraId="348B5F93">
      <w:pPr>
        <w:pStyle w:val="18"/>
        <w:keepNext w:val="0"/>
        <w:keepLines w:val="0"/>
        <w:pageBreakBefore w:val="0"/>
        <w:numPr>
          <w:ilvl w:val="0"/>
          <w:numId w:val="4"/>
        </w:numPr>
        <w:kinsoku/>
        <w:wordWrap/>
        <w:overflowPunct/>
        <w:topLinePunct w:val="0"/>
        <w:autoSpaceDE/>
        <w:autoSpaceDN/>
        <w:bidi w:val="0"/>
        <w:adjustRightInd w:val="0"/>
        <w:snapToGrid/>
        <w:spacing w:before="157" w:beforeLines="50" w:after="157" w:afterLines="50" w:line="360" w:lineRule="auto"/>
        <w:ind w:firstLine="540" w:firstLineChars="30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甲乙双方均知悉并愿意遵守中华人民共和国大陆及香港地区反洗钱的各项相关法律规定，并清楚任何形式洗钱行为都将触犯法律并会受到法律严惩，因此双方相约严格遵守反洗钱的相关法律规定。</w:t>
      </w:r>
    </w:p>
    <w:p w14:paraId="725ACC84">
      <w:pPr>
        <w:pStyle w:val="18"/>
        <w:keepNext w:val="0"/>
        <w:keepLines w:val="0"/>
        <w:pageBreakBefore w:val="0"/>
        <w:numPr>
          <w:ilvl w:val="0"/>
          <w:numId w:val="4"/>
        </w:numPr>
        <w:kinsoku/>
        <w:wordWrap/>
        <w:overflowPunct/>
        <w:topLinePunct w:val="0"/>
        <w:autoSpaceDE/>
        <w:autoSpaceDN/>
        <w:bidi w:val="0"/>
        <w:adjustRightInd w:val="0"/>
        <w:snapToGrid/>
        <w:spacing w:before="157" w:beforeLines="50" w:after="157" w:afterLines="50" w:line="360" w:lineRule="auto"/>
        <w:ind w:firstLine="540" w:firstLineChars="30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双方承诺其资金为合法、安全的自有资金，不存在不诚实经营、诈骗客户资金等违法经营行为所得或盗窃、诈骗、毒品交易、黑社会组织性质不法行为、受贿、侵占挪用公司财产等犯罪行为所得，不存在通过双方商业平台进行洗钱行为来掩饰其资金非法来源，获取不法收益的行为。</w:t>
      </w:r>
    </w:p>
    <w:p w14:paraId="674801AD">
      <w:pPr>
        <w:pStyle w:val="18"/>
        <w:keepNext w:val="0"/>
        <w:keepLines w:val="0"/>
        <w:pageBreakBefore w:val="0"/>
        <w:numPr>
          <w:ilvl w:val="0"/>
          <w:numId w:val="4"/>
        </w:numPr>
        <w:kinsoku/>
        <w:wordWrap/>
        <w:overflowPunct/>
        <w:topLinePunct w:val="0"/>
        <w:autoSpaceDE/>
        <w:autoSpaceDN/>
        <w:bidi w:val="0"/>
        <w:adjustRightInd w:val="0"/>
        <w:snapToGrid/>
        <w:spacing w:before="157" w:beforeLines="50" w:after="157" w:afterLines="50" w:line="360" w:lineRule="auto"/>
        <w:ind w:firstLine="540" w:firstLineChars="30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甲方承诺不得将其在乙方平台所得资金用作任何反国家、恐怖融资等违法犯罪活动，或将进行投资及收益支持、资助或变相帮助反国家、恐怖组织用于非法活动。</w:t>
      </w:r>
    </w:p>
    <w:p w14:paraId="4682D071">
      <w:pPr>
        <w:pStyle w:val="18"/>
        <w:keepNext w:val="0"/>
        <w:keepLines w:val="0"/>
        <w:pageBreakBefore w:val="0"/>
        <w:numPr>
          <w:ilvl w:val="0"/>
          <w:numId w:val="4"/>
        </w:numPr>
        <w:kinsoku/>
        <w:wordWrap/>
        <w:overflowPunct/>
        <w:topLinePunct w:val="0"/>
        <w:autoSpaceDE/>
        <w:autoSpaceDN/>
        <w:bidi w:val="0"/>
        <w:adjustRightInd w:val="0"/>
        <w:snapToGrid/>
        <w:spacing w:before="157" w:beforeLines="50" w:after="157" w:afterLines="50" w:line="360" w:lineRule="auto"/>
        <w:ind w:firstLine="540" w:firstLineChars="30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甲方作为乙方支付平台的用户，乙方对用户施行实名注册、严格准入制度，对于通过实名注册用户，乙方在其交易行为发生时进行客户身份甄别，严格审核，有权拒绝对身份不明的用户或涉嫌洗钱可疑交易的用户提供资金结算等任何服务。</w:t>
      </w:r>
    </w:p>
    <w:p w14:paraId="75DCCF3C">
      <w:pPr>
        <w:pStyle w:val="18"/>
        <w:keepNext w:val="0"/>
        <w:keepLines w:val="0"/>
        <w:pageBreakBefore w:val="0"/>
        <w:numPr>
          <w:ilvl w:val="0"/>
          <w:numId w:val="4"/>
        </w:numPr>
        <w:kinsoku/>
        <w:wordWrap/>
        <w:overflowPunct/>
        <w:topLinePunct w:val="0"/>
        <w:autoSpaceDE/>
        <w:autoSpaceDN/>
        <w:bidi w:val="0"/>
        <w:adjustRightInd w:val="0"/>
        <w:snapToGrid/>
        <w:spacing w:before="157" w:beforeLines="50" w:after="157" w:afterLines="50" w:line="360" w:lineRule="auto"/>
        <w:ind w:firstLine="540" w:firstLineChars="30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乙方平台按规定完整登记用户相关信息，审慎保存并实时监管，对用户的账户和相关动态持续关注，如用户信息发生变更、交易中经审查涉嫌洗钱犯罪、公安检察院法院等司法机关及有关部门要求协查等情况发生时，乙方平台将对用户上述账户及个人信息进行重新识别，对于上述用户已发生交易保存的相关合同、资金凭证及其他交易资料进行重新审核或协助司法机关或有权监管部门查证。</w:t>
      </w:r>
    </w:p>
    <w:p w14:paraId="4A8A337A">
      <w:pPr>
        <w:keepNext w:val="0"/>
        <w:keepLines w:val="0"/>
        <w:pageBreakBefore w:val="0"/>
        <w:kinsoku/>
        <w:wordWrap/>
        <w:overflowPunct/>
        <w:topLinePunct w:val="0"/>
        <w:autoSpaceDE w:val="0"/>
        <w:autoSpaceDN w:val="0"/>
        <w:bidi w:val="0"/>
        <w:adjustRightInd w:val="0"/>
        <w:snapToGrid/>
        <w:spacing w:before="157" w:beforeLines="50" w:after="157" w:afterLines="50" w:line="360" w:lineRule="auto"/>
        <w:ind w:firstLineChars="0"/>
        <w:jc w:val="both"/>
        <w:rPr>
          <w:rFonts w:hint="eastAsia" w:ascii="微软雅黑" w:hAnsi="微软雅黑" w:eastAsia="微软雅黑" w:cs="微软雅黑"/>
          <w:b/>
          <w:color w:val="auto"/>
          <w:sz w:val="18"/>
          <w:szCs w:val="18"/>
        </w:rPr>
      </w:pPr>
      <w:r>
        <w:rPr>
          <w:rFonts w:hint="eastAsia" w:ascii="微软雅黑" w:hAnsi="微软雅黑" w:eastAsia="微软雅黑" w:cs="微软雅黑"/>
          <w:color w:val="auto"/>
          <w:sz w:val="18"/>
          <w:szCs w:val="18"/>
        </w:rPr>
        <w:t>如乙方平台在与甲方合作过程中发现或在第三方金融或同业机构中已确认甲方涉及洗钱犯罪、资金或其他财产来源于恐怖组织、恐怖分子、从事恐怖融资活动人员及其他违法犯罪所得；资金或其他形式的财产已用于或将用于恐怖融资、恐怖活动等违法犯罪活动时，乙方将立即停止甲方在平台已发生或正发生的所有交易，将其账户内的待结算资金采取查封账户、限制出款措施，并将甲方违法行为报送指定金融监管部门并视情况将交易违法信息及证据材料移交司法机关处理，由此导致乙方或其他第三方损失的，甲方应承担完全的赔偿责任并单独承担相应法律后果。</w:t>
      </w:r>
      <w:r>
        <w:rPr>
          <w:rFonts w:hint="eastAsia" w:ascii="微软雅黑" w:hAnsi="微软雅黑" w:eastAsia="微软雅黑" w:cs="微软雅黑"/>
          <w:b/>
          <w:color w:val="auto"/>
          <w:sz w:val="18"/>
          <w:szCs w:val="18"/>
        </w:rPr>
        <w:br w:type="page"/>
      </w:r>
    </w:p>
    <w:p w14:paraId="1086E3F7">
      <w:pPr>
        <w:keepNext w:val="0"/>
        <w:keepLines w:val="0"/>
        <w:pageBreakBefore w:val="0"/>
        <w:kinsoku/>
        <w:wordWrap/>
        <w:overflowPunct/>
        <w:topLinePunct w:val="0"/>
        <w:bidi w:val="0"/>
        <w:snapToGrid/>
        <w:spacing w:before="157" w:beforeLines="50" w:after="157" w:afterLines="50" w:line="360" w:lineRule="auto"/>
        <w:jc w:val="both"/>
        <w:rPr>
          <w:rFonts w:hint="default" w:ascii="微软雅黑" w:hAnsi="微软雅黑" w:eastAsia="微软雅黑" w:cs="微软雅黑"/>
          <w:b/>
          <w:bCs/>
          <w:i w:val="0"/>
          <w:iCs w:val="0"/>
          <w:color w:val="auto"/>
          <w:sz w:val="18"/>
          <w:szCs w:val="18"/>
          <w:highlight w:val="none"/>
          <w:lang w:val="en-US" w:eastAsia="zh-CN"/>
        </w:rPr>
      </w:pPr>
      <w:r>
        <w:rPr>
          <w:rFonts w:hint="eastAsia" w:ascii="微软雅黑" w:hAnsi="微软雅黑" w:eastAsia="微软雅黑" w:cs="微软雅黑"/>
          <w:b/>
          <w:bCs/>
          <w:i w:val="0"/>
          <w:iCs w:val="0"/>
          <w:color w:val="auto"/>
          <w:sz w:val="18"/>
          <w:szCs w:val="18"/>
          <w:highlight w:val="none"/>
        </w:rPr>
        <w:t xml:space="preserve">附件二  FPPay禁止的行为</w:t>
      </w:r>
    </w:p>
    <w:p w14:paraId="2418F715">
      <w:pPr>
        <w:keepNext w:val="0"/>
        <w:keepLines w:val="0"/>
        <w:pageBreakBefore w:val="0"/>
        <w:kinsoku/>
        <w:wordWrap/>
        <w:overflowPunct/>
        <w:topLinePunct w:val="0"/>
        <w:bidi w:val="0"/>
        <w:snapToGrid/>
        <w:spacing w:before="157" w:beforeLines="50" w:after="157" w:afterLines="50" w:line="360" w:lineRule="auto"/>
        <w:ind w:firstLine="360" w:firstLineChars="200"/>
        <w:jc w:val="both"/>
        <w:rPr>
          <w:rFonts w:hint="eastAsia" w:ascii="微软雅黑" w:hAnsi="微软雅黑" w:cs="微软雅黑"/>
          <w:color w:val="auto"/>
          <w:sz w:val="18"/>
          <w:szCs w:val="18"/>
        </w:rPr>
      </w:pPr>
      <w:r>
        <w:rPr>
          <w:rFonts w:hint="eastAsia" w:ascii="微软雅黑" w:hAnsi="微软雅黑" w:cs="微软雅黑"/>
          <w:color w:val="auto"/>
          <w:sz w:val="18"/>
          <w:szCs w:val="18"/>
        </w:rPr>
        <w:t>您不能使用</w:t>
      </w:r>
      <w:r>
        <w:rPr>
          <w:rFonts w:hint="eastAsia" w:ascii="微软雅黑" w:hAnsi="微软雅黑" w:cs="微软雅黑"/>
          <w:color w:val="auto"/>
          <w:sz w:val="18"/>
          <w:szCs w:val="18"/>
          <w:lang w:val="en-US" w:eastAsia="zh-CN"/>
        </w:rPr>
        <w:t>FPPay</w:t>
      </w:r>
      <w:r>
        <w:rPr>
          <w:rFonts w:hint="eastAsia" w:ascii="微软雅黑" w:hAnsi="微软雅黑" w:cs="微软雅黑"/>
          <w:color w:val="auto"/>
          <w:sz w:val="18"/>
          <w:szCs w:val="18"/>
        </w:rPr>
        <w:t>服务从事以下活动：</w:t>
      </w:r>
    </w:p>
    <w:p w14:paraId="0482A142">
      <w:pPr>
        <w:keepNext w:val="0"/>
        <w:keepLines w:val="0"/>
        <w:pageBreakBefore w:val="0"/>
        <w:numPr>
          <w:ilvl w:val="0"/>
          <w:numId w:val="5"/>
        </w:numPr>
        <w:kinsoku/>
        <w:wordWrap/>
        <w:overflowPunct/>
        <w:topLinePunct w:val="0"/>
        <w:bidi w:val="0"/>
        <w:snapToGrid/>
        <w:spacing w:before="157" w:beforeLines="50" w:after="157" w:afterLines="50" w:line="360" w:lineRule="auto"/>
        <w:ind w:left="425" w:hanging="425"/>
        <w:jc w:val="both"/>
        <w:rPr>
          <w:rFonts w:hint="eastAsia" w:ascii="微软雅黑" w:hAnsi="微软雅黑" w:cs="微软雅黑"/>
          <w:color w:val="auto"/>
          <w:sz w:val="18"/>
          <w:szCs w:val="18"/>
        </w:rPr>
      </w:pPr>
      <w:r>
        <w:rPr>
          <w:rFonts w:hint="eastAsia" w:ascii="微软雅黑" w:hAnsi="微软雅黑" w:cs="微软雅黑"/>
          <w:color w:val="auto"/>
          <w:sz w:val="18"/>
          <w:szCs w:val="18"/>
        </w:rPr>
        <w:t>违反</w:t>
      </w:r>
      <w:r>
        <w:rPr>
          <w:rFonts w:hint="eastAsia" w:ascii="微软雅黑" w:hAnsi="微软雅黑" w:cs="微软雅黑"/>
          <w:color w:val="auto"/>
          <w:sz w:val="18"/>
          <w:szCs w:val="18"/>
          <w:lang w:val="en-US" w:eastAsia="zh-CN"/>
        </w:rPr>
        <w:t>中国的相关</w:t>
      </w:r>
      <w:r>
        <w:rPr>
          <w:rFonts w:hint="eastAsia" w:ascii="微软雅黑" w:hAnsi="微软雅黑" w:cs="微软雅黑"/>
          <w:color w:val="auto"/>
          <w:sz w:val="18"/>
          <w:szCs w:val="18"/>
        </w:rPr>
        <w:t>法律法规、</w:t>
      </w:r>
      <w:r>
        <w:rPr>
          <w:rFonts w:hint="eastAsia" w:ascii="微软雅黑" w:hAnsi="微软雅黑" w:cs="微软雅黑"/>
          <w:color w:val="auto"/>
          <w:sz w:val="18"/>
          <w:szCs w:val="18"/>
          <w:lang w:val="en-US" w:eastAsia="zh-CN"/>
        </w:rPr>
        <w:t>部门</w:t>
      </w:r>
      <w:r>
        <w:rPr>
          <w:rFonts w:hint="eastAsia" w:ascii="微软雅黑" w:hAnsi="微软雅黑" w:cs="微软雅黑"/>
          <w:color w:val="auto"/>
          <w:sz w:val="18"/>
          <w:szCs w:val="18"/>
        </w:rPr>
        <w:t>规章或</w:t>
      </w:r>
      <w:r>
        <w:rPr>
          <w:rFonts w:hint="eastAsia" w:ascii="微软雅黑" w:hAnsi="微软雅黑" w:cs="微软雅黑"/>
          <w:color w:val="auto"/>
          <w:sz w:val="18"/>
          <w:szCs w:val="18"/>
          <w:lang w:val="en-US" w:eastAsia="zh-CN"/>
        </w:rPr>
        <w:t>行业</w:t>
      </w:r>
      <w:r>
        <w:rPr>
          <w:rFonts w:hint="eastAsia" w:ascii="微软雅黑" w:hAnsi="微软雅黑" w:cs="微软雅黑"/>
          <w:color w:val="auto"/>
          <w:sz w:val="18"/>
          <w:szCs w:val="18"/>
        </w:rPr>
        <w:t>规定。</w:t>
      </w:r>
    </w:p>
    <w:p w14:paraId="0A938D03">
      <w:pPr>
        <w:keepNext w:val="0"/>
        <w:keepLines w:val="0"/>
        <w:pageBreakBefore w:val="0"/>
        <w:numPr>
          <w:ilvl w:val="0"/>
          <w:numId w:val="5"/>
        </w:numPr>
        <w:kinsoku/>
        <w:wordWrap/>
        <w:overflowPunct/>
        <w:topLinePunct w:val="0"/>
        <w:bidi w:val="0"/>
        <w:snapToGrid/>
        <w:spacing w:before="157" w:beforeLines="50" w:after="157" w:afterLines="50" w:line="360" w:lineRule="auto"/>
        <w:ind w:left="425" w:hanging="425"/>
        <w:jc w:val="both"/>
        <w:rPr>
          <w:rFonts w:hint="eastAsia" w:ascii="微软雅黑" w:hAnsi="微软雅黑" w:cs="微软雅黑"/>
          <w:color w:val="auto"/>
          <w:sz w:val="18"/>
          <w:szCs w:val="18"/>
        </w:rPr>
      </w:pPr>
      <w:r>
        <w:rPr>
          <w:rFonts w:hint="eastAsia" w:ascii="微软雅黑" w:hAnsi="微软雅黑" w:cs="微软雅黑"/>
          <w:color w:val="auto"/>
          <w:sz w:val="18"/>
          <w:szCs w:val="18"/>
        </w:rPr>
        <w:t>与涉及以下物品的交易相关：（a）麻醉剂、类固醇、某些受监管药品或其他可能危及消费者安全的产品；（b）吸毒用具；（c）香烟；（d）挑唆、促使、方便或指导他人参与非法活动的物品；（e）被盗物品，包括数字和虚拟物品；（f）煽动仇恨、暴力、种族或其他形式的偏见或利用犯罪活动牟利的物品；（g）被视为淫秽的物品；（h）侵犯他人名誉、商业秘密、商标权、著作权、专利权、宣传权或者隐私权或任何司法管辖区的法律所规定的任何其他所有权的物品</w:t>
      </w:r>
      <w:r>
        <w:rPr>
          <w:rFonts w:hint="eastAsia" w:ascii="微软雅黑" w:hAnsi="微软雅黑" w:cs="微软雅黑"/>
          <w:color w:val="auto"/>
          <w:sz w:val="18"/>
          <w:szCs w:val="18"/>
          <w:lang w:eastAsia="zh-CN"/>
        </w:rPr>
        <w:t>；</w:t>
      </w:r>
      <w:r>
        <w:rPr>
          <w:rFonts w:hint="eastAsia" w:ascii="微软雅黑" w:hAnsi="微软雅黑" w:cs="微软雅黑"/>
          <w:color w:val="auto"/>
          <w:sz w:val="18"/>
          <w:szCs w:val="18"/>
        </w:rPr>
        <w:t>（i）某些色情物品或服务；（j）弹药、武器或某些武器部件或配件</w:t>
      </w:r>
      <w:r>
        <w:rPr>
          <w:rFonts w:hint="eastAsia" w:ascii="微软雅黑" w:hAnsi="微软雅黑" w:cs="微软雅黑"/>
          <w:color w:val="auto"/>
          <w:sz w:val="18"/>
          <w:szCs w:val="18"/>
          <w:lang w:eastAsia="zh-CN"/>
        </w:rPr>
        <w:t>；</w:t>
      </w:r>
      <w:r>
        <w:rPr>
          <w:rFonts w:hint="eastAsia" w:ascii="微软雅黑" w:hAnsi="微软雅黑" w:cs="微软雅黑"/>
          <w:color w:val="auto"/>
          <w:sz w:val="18"/>
          <w:szCs w:val="18"/>
        </w:rPr>
        <w:t>（k）受适用法律管制的某些武器或刀械</w:t>
      </w:r>
      <w:r>
        <w:rPr>
          <w:rFonts w:hint="eastAsia" w:ascii="微软雅黑" w:hAnsi="微软雅黑" w:cs="微软雅黑"/>
          <w:color w:val="auto"/>
          <w:sz w:val="18"/>
          <w:szCs w:val="18"/>
          <w:lang w:eastAsia="zh-CN"/>
        </w:rPr>
        <w:t>；</w:t>
      </w:r>
      <w:r>
        <w:rPr>
          <w:rFonts w:hint="eastAsia" w:ascii="微软雅黑" w:hAnsi="微软雅黑" w:cs="微软雅黑"/>
          <w:color w:val="auto"/>
          <w:sz w:val="18"/>
          <w:szCs w:val="18"/>
        </w:rPr>
        <w:t>（l）其他我们不定期根据所适用的中华人民共和国或其它监管区域内的法律、法规的规定或政府命令所公布的违禁物。</w:t>
      </w:r>
    </w:p>
    <w:p w14:paraId="68958672">
      <w:pPr>
        <w:keepNext w:val="0"/>
        <w:keepLines w:val="0"/>
        <w:pageBreakBefore w:val="0"/>
        <w:numPr>
          <w:ilvl w:val="0"/>
          <w:numId w:val="5"/>
        </w:numPr>
        <w:kinsoku/>
        <w:wordWrap/>
        <w:overflowPunct/>
        <w:topLinePunct w:val="0"/>
        <w:bidi w:val="0"/>
        <w:snapToGrid/>
        <w:spacing w:before="157" w:beforeLines="50" w:after="157" w:afterLines="50" w:line="360" w:lineRule="auto"/>
        <w:ind w:left="425" w:hanging="425"/>
        <w:jc w:val="both"/>
        <w:rPr>
          <w:rFonts w:hint="eastAsia" w:ascii="微软雅黑" w:hAnsi="微软雅黑" w:cs="微软雅黑"/>
          <w:color w:val="auto"/>
          <w:sz w:val="18"/>
          <w:szCs w:val="18"/>
        </w:rPr>
      </w:pPr>
      <w:r>
        <w:rPr>
          <w:rFonts w:hint="eastAsia" w:ascii="微软雅黑" w:hAnsi="微软雅黑" w:cs="微软雅黑"/>
          <w:color w:val="auto"/>
          <w:sz w:val="18"/>
          <w:szCs w:val="18"/>
        </w:rPr>
        <w:t>与以下交易相关：（a）显示第三方的个人信息时违反了适用法律；（b）支持金字塔骗局、庞氏骗局、矩阵式骗局、其他“快速致富”计划或某些多级下线传销计划；（</w:t>
      </w:r>
      <w:r>
        <w:rPr>
          <w:rFonts w:hint="eastAsia" w:ascii="微软雅黑" w:hAnsi="微软雅黑" w:cs="微软雅黑"/>
          <w:color w:val="auto"/>
          <w:sz w:val="18"/>
          <w:szCs w:val="18"/>
          <w:lang w:val="en-US" w:eastAsia="zh-CN"/>
        </w:rPr>
        <w:t>c</w:t>
      </w:r>
      <w:r>
        <w:rPr>
          <w:rFonts w:hint="eastAsia" w:ascii="微软雅黑" w:hAnsi="微软雅黑" w:cs="微软雅黑"/>
          <w:color w:val="auto"/>
          <w:sz w:val="18"/>
          <w:szCs w:val="18"/>
        </w:rPr>
        <w:t>）涉及提供或接收与贿赂或腐败有关的款项</w:t>
      </w:r>
      <w:r>
        <w:rPr>
          <w:rFonts w:hint="eastAsia" w:ascii="微软雅黑" w:hAnsi="微软雅黑" w:cs="微软雅黑"/>
          <w:color w:val="auto"/>
          <w:sz w:val="18"/>
          <w:szCs w:val="18"/>
          <w:lang w:eastAsia="zh-CN"/>
        </w:rPr>
        <w:t>；</w:t>
      </w:r>
      <w:r>
        <w:rPr>
          <w:rFonts w:hint="eastAsia" w:ascii="微软雅黑" w:hAnsi="微软雅黑" w:cs="微软雅黑"/>
          <w:color w:val="auto"/>
          <w:sz w:val="18"/>
          <w:szCs w:val="18"/>
        </w:rPr>
        <w:t>或者（</w:t>
      </w:r>
      <w:r>
        <w:rPr>
          <w:rFonts w:hint="eastAsia" w:ascii="微软雅黑" w:hAnsi="微软雅黑" w:cs="微软雅黑"/>
          <w:color w:val="auto"/>
          <w:sz w:val="18"/>
          <w:szCs w:val="18"/>
          <w:lang w:val="en-US" w:eastAsia="zh-CN"/>
        </w:rPr>
        <w:t>d</w:t>
      </w:r>
      <w:r>
        <w:rPr>
          <w:rFonts w:hint="eastAsia" w:ascii="微软雅黑" w:hAnsi="微软雅黑" w:cs="微软雅黑"/>
          <w:color w:val="auto"/>
          <w:sz w:val="18"/>
          <w:szCs w:val="18"/>
        </w:rPr>
        <w:t>）涉及实施洗钱、恐怖融资及套现。</w:t>
      </w:r>
    </w:p>
    <w:p w14:paraId="4CF69E92">
      <w:pPr>
        <w:keepNext w:val="0"/>
        <w:keepLines w:val="0"/>
        <w:pageBreakBefore w:val="0"/>
        <w:numPr>
          <w:ilvl w:val="0"/>
          <w:numId w:val="5"/>
        </w:numPr>
        <w:kinsoku/>
        <w:wordWrap/>
        <w:overflowPunct/>
        <w:topLinePunct w:val="0"/>
        <w:bidi w:val="0"/>
        <w:snapToGrid/>
        <w:spacing w:before="157" w:beforeLines="50" w:after="157" w:afterLines="50" w:line="360" w:lineRule="auto"/>
        <w:ind w:left="425" w:hanging="425"/>
        <w:jc w:val="both"/>
        <w:rPr>
          <w:rFonts w:hint="eastAsia" w:ascii="微软雅黑" w:hAnsi="微软雅黑" w:cs="微软雅黑"/>
          <w:color w:val="auto"/>
          <w:sz w:val="18"/>
          <w:szCs w:val="18"/>
        </w:rPr>
      </w:pPr>
      <w:r>
        <w:rPr>
          <w:rFonts w:hint="eastAsia" w:ascii="微软雅黑" w:hAnsi="微软雅黑" w:cs="微软雅黑"/>
          <w:color w:val="auto"/>
          <w:sz w:val="18"/>
          <w:szCs w:val="18"/>
        </w:rPr>
        <w:t>出租、出借、出售或者购买银行账户或者支付账户，假冒他人身份或者虚构代理关系开立银行账户或者支付账户。</w:t>
      </w:r>
    </w:p>
    <w:p w14:paraId="4700D762">
      <w:pPr>
        <w:keepNext w:val="0"/>
        <w:keepLines w:val="0"/>
        <w:pageBreakBefore w:val="0"/>
        <w:numPr>
          <w:ilvl w:val="0"/>
          <w:numId w:val="5"/>
        </w:numPr>
        <w:kinsoku/>
        <w:wordWrap/>
        <w:overflowPunct/>
        <w:topLinePunct w:val="0"/>
        <w:bidi w:val="0"/>
        <w:snapToGrid/>
        <w:spacing w:before="157" w:beforeLines="50" w:after="157" w:afterLines="50" w:line="360" w:lineRule="auto"/>
        <w:ind w:left="425" w:hanging="425"/>
        <w:jc w:val="both"/>
        <w:rPr>
          <w:rFonts w:hint="eastAsia" w:ascii="微软雅黑" w:hAnsi="微软雅黑" w:cs="微软雅黑"/>
          <w:color w:val="auto"/>
          <w:sz w:val="18"/>
          <w:szCs w:val="18"/>
        </w:rPr>
      </w:pPr>
      <w:r>
        <w:rPr>
          <w:rFonts w:hint="eastAsia" w:ascii="微软雅黑" w:hAnsi="微软雅黑" w:cs="微软雅黑"/>
          <w:color w:val="auto"/>
          <w:sz w:val="18"/>
          <w:szCs w:val="18"/>
        </w:rPr>
        <w:t>涉及销售被政府机构认定为很可能涉嫌欺诈的产品或服务。</w:t>
      </w:r>
    </w:p>
    <w:p w14:paraId="283C2AC4">
      <w:pPr>
        <w:keepNext w:val="0"/>
        <w:keepLines w:val="0"/>
        <w:pageBreakBefore w:val="0"/>
        <w:numPr>
          <w:ilvl w:val="0"/>
          <w:numId w:val="5"/>
        </w:numPr>
        <w:kinsoku/>
        <w:wordWrap/>
        <w:overflowPunct/>
        <w:topLinePunct w:val="0"/>
        <w:bidi w:val="0"/>
        <w:snapToGrid/>
        <w:spacing w:before="157" w:beforeLines="50" w:after="157" w:afterLines="50" w:line="360" w:lineRule="auto"/>
        <w:ind w:left="425" w:hanging="425"/>
        <w:jc w:val="both"/>
        <w:rPr>
          <w:rFonts w:hint="eastAsia" w:ascii="微软雅黑" w:hAnsi="微软雅黑" w:cs="微软雅黑"/>
          <w:color w:val="auto"/>
          <w:sz w:val="18"/>
          <w:szCs w:val="18"/>
        </w:rPr>
      </w:pPr>
      <w:r>
        <w:rPr>
          <w:rFonts w:hint="eastAsia" w:ascii="微软雅黑" w:hAnsi="微软雅黑" w:cs="微软雅黑"/>
          <w:color w:val="auto"/>
          <w:sz w:val="18"/>
          <w:szCs w:val="18"/>
        </w:rPr>
        <w:t>进行与您或者交易对方宣称的交易内容不符的交易或者不真实的交易。</w:t>
      </w:r>
    </w:p>
    <w:p w14:paraId="207572E6">
      <w:pPr>
        <w:keepNext w:val="0"/>
        <w:keepLines w:val="0"/>
        <w:pageBreakBefore w:val="0"/>
        <w:numPr>
          <w:ilvl w:val="0"/>
          <w:numId w:val="5"/>
        </w:numPr>
        <w:kinsoku/>
        <w:wordWrap/>
        <w:overflowPunct/>
        <w:topLinePunct w:val="0"/>
        <w:bidi w:val="0"/>
        <w:snapToGrid/>
        <w:spacing w:before="157" w:beforeLines="50" w:after="157" w:afterLines="50" w:line="360" w:lineRule="auto"/>
        <w:ind w:left="425" w:hanging="425"/>
        <w:jc w:val="both"/>
        <w:rPr>
          <w:rFonts w:hint="eastAsia" w:ascii="微软雅黑" w:hAnsi="微软雅黑" w:cs="微软雅黑"/>
          <w:color w:val="auto"/>
          <w:sz w:val="18"/>
          <w:szCs w:val="18"/>
        </w:rPr>
      </w:pPr>
      <w:r>
        <w:rPr>
          <w:rFonts w:hint="eastAsia" w:ascii="微软雅黑" w:hAnsi="微软雅黑" w:cs="微软雅黑"/>
          <w:color w:val="auto"/>
          <w:sz w:val="18"/>
          <w:szCs w:val="18"/>
        </w:rPr>
        <w:t>其他</w:t>
      </w:r>
      <w:r>
        <w:rPr>
          <w:rFonts w:hint="eastAsia" w:ascii="微软雅黑" w:hAnsi="微软雅黑" w:cs="微软雅黑"/>
          <w:color w:val="auto"/>
          <w:sz w:val="18"/>
          <w:szCs w:val="18"/>
          <w:lang w:val="en-US" w:eastAsia="zh-CN"/>
        </w:rPr>
        <w:t>FPPay</w:t>
      </w:r>
      <w:r>
        <w:rPr>
          <w:rFonts w:hint="eastAsia" w:ascii="微软雅黑" w:hAnsi="微软雅黑" w:cs="微软雅黑"/>
          <w:color w:val="auto"/>
          <w:sz w:val="18"/>
          <w:szCs w:val="18"/>
        </w:rPr>
        <w:t>有正当理由认为不适当的行为。</w:t>
      </w:r>
    </w:p>
    <w:p w14:paraId="47FDCCEE">
      <w:pPr>
        <w:keepNext w:val="0"/>
        <w:keepLines w:val="0"/>
        <w:pageBreakBefore w:val="0"/>
        <w:kinsoku/>
        <w:wordWrap/>
        <w:overflowPunct/>
        <w:topLinePunct w:val="0"/>
        <w:bidi w:val="0"/>
        <w:snapToGrid/>
        <w:spacing w:before="157" w:beforeLines="50" w:after="157" w:afterLines="50" w:line="360" w:lineRule="auto"/>
        <w:jc w:val="both"/>
        <w:rPr>
          <w:rFonts w:hint="eastAsia" w:ascii="微软雅黑" w:hAnsi="微软雅黑" w:cs="微软雅黑"/>
          <w:b w:val="0"/>
          <w:bCs w:val="0"/>
          <w:color w:val="auto"/>
          <w:sz w:val="18"/>
          <w:szCs w:val="18"/>
        </w:rPr>
      </w:pPr>
      <w:r>
        <w:rPr>
          <w:rFonts w:hint="eastAsia" w:ascii="微软雅黑" w:hAnsi="微软雅黑" w:cs="微软雅黑"/>
          <w:b w:val="0"/>
          <w:bCs w:val="0"/>
          <w:color w:val="auto"/>
          <w:sz w:val="18"/>
          <w:szCs w:val="18"/>
        </w:rPr>
        <w:t>暂停和终止权利</w:t>
      </w:r>
    </w:p>
    <w:p w14:paraId="534B7FCD">
      <w:pPr>
        <w:keepNext w:val="0"/>
        <w:keepLines w:val="0"/>
        <w:pageBreakBefore w:val="0"/>
        <w:kinsoku/>
        <w:wordWrap/>
        <w:overflowPunct/>
        <w:topLinePunct w:val="0"/>
        <w:bidi w:val="0"/>
        <w:snapToGrid/>
        <w:spacing w:before="157" w:beforeLines="50" w:after="157" w:afterLines="50" w:line="360" w:lineRule="auto"/>
        <w:ind w:firstLine="360" w:firstLineChars="200"/>
        <w:jc w:val="both"/>
        <w:rPr>
          <w:rFonts w:hint="eastAsia" w:ascii="微软雅黑" w:hAnsi="微软雅黑" w:cs="微软雅黑"/>
          <w:color w:val="auto"/>
          <w:sz w:val="18"/>
          <w:szCs w:val="18"/>
        </w:rPr>
      </w:pPr>
      <w:r>
        <w:rPr>
          <w:rFonts w:hint="eastAsia" w:ascii="微软雅黑" w:hAnsi="微软雅黑" w:cs="微软雅黑"/>
          <w:color w:val="auto"/>
          <w:sz w:val="18"/>
          <w:szCs w:val="18"/>
          <w:lang w:val="en-US" w:eastAsia="zh-CN"/>
        </w:rPr>
        <w:t>FPPay</w:t>
      </w:r>
      <w:r>
        <w:rPr>
          <w:rFonts w:hint="eastAsia" w:ascii="微软雅黑" w:hAnsi="微软雅黑" w:cs="微软雅黑"/>
          <w:color w:val="auto"/>
          <w:sz w:val="18"/>
          <w:szCs w:val="18"/>
        </w:rPr>
        <w:t>有权随时出于任何原因在发出通知后单方面暂停或终止本用户协议、对其网站、软件、由我们或代表我们运营的系统(包括用于提供任何</w:t>
      </w:r>
      <w:r>
        <w:rPr>
          <w:rFonts w:hint="eastAsia" w:ascii="微软雅黑" w:hAnsi="微软雅黑" w:cs="微软雅黑"/>
          <w:color w:val="auto"/>
          <w:sz w:val="18"/>
          <w:szCs w:val="18"/>
          <w:lang w:val="en-US" w:eastAsia="zh-CN"/>
        </w:rPr>
        <w:t>FPPay</w:t>
      </w:r>
      <w:r>
        <w:rPr>
          <w:rFonts w:hint="eastAsia" w:ascii="微软雅黑" w:hAnsi="微软雅黑" w:cs="微软雅黑"/>
          <w:color w:val="auto"/>
          <w:sz w:val="18"/>
          <w:szCs w:val="18"/>
        </w:rPr>
        <w:t>服务的任何网络和服务器)或者部分或所有</w:t>
      </w:r>
      <w:r>
        <w:rPr>
          <w:rFonts w:hint="eastAsia" w:ascii="微软雅黑" w:hAnsi="微软雅黑" w:cs="微软雅黑"/>
          <w:color w:val="auto"/>
          <w:sz w:val="18"/>
          <w:szCs w:val="18"/>
          <w:lang w:val="en-US" w:eastAsia="zh-CN"/>
        </w:rPr>
        <w:t>LinkPay</w:t>
      </w:r>
      <w:r>
        <w:rPr>
          <w:rFonts w:hint="eastAsia" w:ascii="微软雅黑" w:hAnsi="微软雅黑" w:cs="微软雅黑"/>
          <w:color w:val="auto"/>
          <w:sz w:val="18"/>
          <w:szCs w:val="18"/>
        </w:rPr>
        <w:t>服务的访问和使用。本用户协议终止后，我们会将您</w:t>
      </w:r>
      <w:r>
        <w:rPr>
          <w:rFonts w:hint="eastAsia" w:ascii="微软雅黑" w:hAnsi="微软雅黑" w:cs="微软雅黑"/>
          <w:color w:val="auto"/>
          <w:sz w:val="18"/>
          <w:szCs w:val="18"/>
          <w:lang w:val="en-US" w:eastAsia="zh-CN"/>
        </w:rPr>
        <w:t>FPPay</w:t>
      </w:r>
      <w:r>
        <w:rPr>
          <w:rFonts w:hint="eastAsia" w:ascii="微软雅黑" w:hAnsi="微软雅黑" w:cs="微软雅黑"/>
          <w:color w:val="auto"/>
          <w:sz w:val="18"/>
          <w:szCs w:val="18"/>
        </w:rPr>
        <w:t>账户中不受限制的待结算资金结算给您。</w:t>
      </w:r>
    </w:p>
    <w:p w14:paraId="24216114">
      <w:pPr>
        <w:keepNext w:val="0"/>
        <w:keepLines w:val="0"/>
        <w:pageBreakBefore w:val="0"/>
        <w:kinsoku/>
        <w:wordWrap/>
        <w:overflowPunct/>
        <w:topLinePunct w:val="0"/>
        <w:autoSpaceDE/>
        <w:autoSpaceDN/>
        <w:bidi w:val="0"/>
        <w:adjustRightInd w:val="0"/>
        <w:snapToGrid/>
        <w:spacing w:before="0" w:beforeLines="-2147483648" w:after="0" w:afterLines="-2147483648" w:line="240" w:lineRule="auto"/>
        <w:ind w:firstLine="0" w:firstLineChars="0"/>
        <w:jc w:val="center"/>
        <w:rPr>
          <w:rFonts w:hint="eastAsia" w:ascii="微软雅黑" w:hAnsi="微软雅黑" w:eastAsia="微软雅黑" w:cs="微软雅黑"/>
          <w:b/>
          <w:color w:val="auto"/>
          <w:sz w:val="18"/>
          <w:szCs w:val="18"/>
        </w:rPr>
      </w:pPr>
      <w:r>
        <w:rPr>
          <w:rFonts w:hint="eastAsia" w:ascii="微软雅黑" w:hAnsi="微软雅黑" w:cs="微软雅黑"/>
          <w:color w:val="auto"/>
          <w:sz w:val="18"/>
          <w:szCs w:val="18"/>
        </w:rPr>
        <w:br w:type="page"/>
      </w:r>
      <w:r>
        <w:rPr>
          <w:rFonts w:hint="eastAsia" w:ascii="微软雅黑" w:hAnsi="微软雅黑" w:eastAsia="微软雅黑" w:cs="微软雅黑"/>
          <w:b/>
          <w:color w:val="auto"/>
          <w:sz w:val="18"/>
          <w:szCs w:val="18"/>
        </w:rPr>
        <w:t>本页为双方签字或盖章页，无正文</w:t>
      </w:r>
    </w:p>
    <w:p w14:paraId="34D2D490">
      <w:pPr>
        <w:keepNext w:val="0"/>
        <w:keepLines w:val="0"/>
        <w:pageBreakBefore w:val="0"/>
        <w:kinsoku/>
        <w:wordWrap/>
        <w:overflowPunct/>
        <w:topLinePunct w:val="0"/>
        <w:autoSpaceDE/>
        <w:autoSpaceDN/>
        <w:bidi w:val="0"/>
        <w:adjustRightInd w:val="0"/>
        <w:snapToGrid/>
        <w:spacing w:before="157" w:beforeLines="50" w:after="157" w:afterLines="50" w:line="360" w:lineRule="auto"/>
        <w:ind w:firstLine="360" w:firstLineChars="200"/>
        <w:jc w:val="both"/>
        <w:rPr>
          <w:rFonts w:hint="eastAsia" w:ascii="微软雅黑" w:hAnsi="微软雅黑" w:eastAsia="微软雅黑" w:cs="微软雅黑"/>
          <w:color w:val="auto"/>
          <w:sz w:val="18"/>
          <w:szCs w:val="18"/>
        </w:rPr>
      </w:pPr>
    </w:p>
    <w:p w14:paraId="2908C432">
      <w:pPr>
        <w:keepNext w:val="0"/>
        <w:keepLines w:val="0"/>
        <w:pageBreakBefore w:val="0"/>
        <w:kinsoku/>
        <w:wordWrap/>
        <w:overflowPunct/>
        <w:topLinePunct w:val="0"/>
        <w:autoSpaceDE/>
        <w:autoSpaceDN/>
        <w:bidi w:val="0"/>
        <w:adjustRightInd w:val="0"/>
        <w:snapToGrid/>
        <w:spacing w:before="157" w:beforeLines="50" w:after="157" w:afterLines="50" w:line="360" w:lineRule="auto"/>
        <w:ind w:firstLine="360" w:firstLineChars="200"/>
        <w:jc w:val="both"/>
        <w:rPr>
          <w:rFonts w:hint="eastAsia" w:ascii="微软雅黑" w:hAnsi="微软雅黑" w:eastAsia="微软雅黑" w:cs="微软雅黑"/>
          <w:color w:val="auto"/>
          <w:sz w:val="18"/>
          <w:szCs w:val="18"/>
          <w:lang w:val="en-US" w:eastAsia="zh-CN"/>
        </w:rPr>
      </w:pPr>
      <w:r>
        <w:rPr>
          <w:rFonts w:hint="eastAsia" w:ascii="微软雅黑" w:hAnsi="微软雅黑" w:eastAsia="微软雅黑" w:cs="微软雅黑"/>
          <w:color w:val="auto"/>
          <w:sz w:val="18"/>
          <w:szCs w:val="18"/>
        </w:rPr>
        <w:t>甲方（盖章）</w:t>
      </w:r>
      <w:r>
        <w:rPr>
          <w:rFonts w:hint="eastAsia" w:ascii="微软雅黑" w:hAnsi="微软雅黑" w:cs="微软雅黑"/>
          <w:color w:val="auto"/>
          <w:sz w:val="18"/>
          <w:szCs w:val="18"/>
          <w:lang w:eastAsia="zh-CN"/>
        </w:rPr>
        <w:t>：</w:t>
      </w:r>
    </w:p>
    <w:p w14:paraId="7E7DBC95">
      <w:pPr>
        <w:keepNext w:val="0"/>
        <w:keepLines w:val="0"/>
        <w:pageBreakBefore w:val="0"/>
        <w:kinsoku/>
        <w:wordWrap/>
        <w:overflowPunct/>
        <w:topLinePunct w:val="0"/>
        <w:autoSpaceDE/>
        <w:autoSpaceDN/>
        <w:bidi w:val="0"/>
        <w:adjustRightInd w:val="0"/>
        <w:snapToGrid/>
        <w:spacing w:before="157" w:beforeLines="50" w:after="157" w:afterLines="50" w:line="360" w:lineRule="auto"/>
        <w:jc w:val="both"/>
        <w:rPr>
          <w:rFonts w:hint="eastAsia" w:ascii="微软雅黑" w:hAnsi="微软雅黑" w:eastAsia="微软雅黑" w:cs="微软雅黑"/>
          <w:color w:val="auto"/>
          <w:sz w:val="18"/>
          <w:szCs w:val="18"/>
        </w:rPr>
      </w:pPr>
    </w:p>
    <w:p w14:paraId="0F42F7A2">
      <w:pPr>
        <w:keepNext w:val="0"/>
        <w:keepLines w:val="0"/>
        <w:pageBreakBefore w:val="0"/>
        <w:kinsoku/>
        <w:wordWrap/>
        <w:overflowPunct/>
        <w:topLinePunct w:val="0"/>
        <w:autoSpaceDE/>
        <w:autoSpaceDN/>
        <w:bidi w:val="0"/>
        <w:adjustRightInd w:val="0"/>
        <w:snapToGrid/>
        <w:spacing w:before="157" w:beforeLines="50" w:after="157" w:afterLines="50" w:line="360" w:lineRule="auto"/>
        <w:ind w:firstLine="360" w:firstLineChars="20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法人或授权代表（签章）</w:t>
      </w:r>
      <w:r>
        <w:rPr>
          <w:rFonts w:hint="eastAsia" w:ascii="微软雅黑" w:hAnsi="微软雅黑" w:cs="微软雅黑"/>
          <w:color w:val="auto"/>
          <w:sz w:val="18"/>
          <w:szCs w:val="18"/>
          <w:lang w:eastAsia="zh-CN"/>
        </w:rPr>
        <w:t>：</w:t>
      </w:r>
      <w:r>
        <w:rPr>
          <w:rFonts w:hint="eastAsia" w:ascii="微软雅黑" w:hAnsi="微软雅黑" w:eastAsia="微软雅黑" w:cs="微软雅黑"/>
          <w:color w:val="auto"/>
          <w:sz w:val="18"/>
          <w:szCs w:val="18"/>
        </w:rPr>
        <w:t xml:space="preserve">                                                        </w:t>
      </w:r>
    </w:p>
    <w:p w14:paraId="3E215255">
      <w:pPr>
        <w:keepNext w:val="0"/>
        <w:keepLines w:val="0"/>
        <w:pageBreakBefore w:val="0"/>
        <w:kinsoku/>
        <w:wordWrap/>
        <w:overflowPunct/>
        <w:topLinePunct w:val="0"/>
        <w:autoSpaceDE/>
        <w:autoSpaceDN/>
        <w:bidi w:val="0"/>
        <w:adjustRightInd w:val="0"/>
        <w:snapToGrid/>
        <w:spacing w:before="157" w:beforeLines="50" w:after="157" w:afterLines="50" w:line="360" w:lineRule="auto"/>
        <w:ind w:firstLine="360" w:firstLineChars="200"/>
        <w:jc w:val="both"/>
        <w:rPr>
          <w:rFonts w:hint="eastAsia" w:ascii="微软雅黑" w:hAnsi="微软雅黑" w:eastAsia="微软雅黑" w:cs="微软雅黑"/>
          <w:color w:val="auto"/>
          <w:sz w:val="18"/>
          <w:szCs w:val="18"/>
        </w:rPr>
      </w:pPr>
    </w:p>
    <w:p w14:paraId="426786A4">
      <w:pPr>
        <w:keepNext w:val="0"/>
        <w:keepLines w:val="0"/>
        <w:pageBreakBefore w:val="0"/>
        <w:kinsoku/>
        <w:wordWrap/>
        <w:overflowPunct/>
        <w:topLinePunct w:val="0"/>
        <w:autoSpaceDE/>
        <w:autoSpaceDN/>
        <w:bidi w:val="0"/>
        <w:adjustRightInd w:val="0"/>
        <w:snapToGrid/>
        <w:spacing w:before="157" w:beforeLines="50" w:after="157" w:afterLines="50" w:line="360" w:lineRule="auto"/>
        <w:ind w:firstLine="360" w:firstLineChars="200"/>
        <w:jc w:val="both"/>
        <w:rPr>
          <w:rFonts w:hint="eastAsia" w:ascii="微软雅黑" w:hAnsi="微软雅黑" w:eastAsia="微软雅黑" w:cs="微软雅黑"/>
          <w:color w:val="auto"/>
          <w:sz w:val="18"/>
          <w:szCs w:val="18"/>
        </w:rPr>
      </w:pPr>
    </w:p>
    <w:p w14:paraId="2D908B0B">
      <w:pPr>
        <w:keepNext w:val="0"/>
        <w:keepLines w:val="0"/>
        <w:pageBreakBefore w:val="0"/>
        <w:kinsoku/>
        <w:wordWrap/>
        <w:overflowPunct/>
        <w:topLinePunct w:val="0"/>
        <w:autoSpaceDE/>
        <w:autoSpaceDN/>
        <w:bidi w:val="0"/>
        <w:adjustRightInd w:val="0"/>
        <w:snapToGrid/>
        <w:spacing w:before="157" w:beforeLines="50" w:after="157" w:afterLines="50" w:line="360" w:lineRule="auto"/>
        <w:ind w:firstLine="360" w:firstLineChars="20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乙方（盖章）</w:t>
      </w:r>
      <w:r>
        <w:rPr>
          <w:rFonts w:hint="eastAsia" w:ascii="微软雅黑" w:hAnsi="微软雅黑" w:cs="微软雅黑"/>
          <w:color w:val="auto"/>
          <w:sz w:val="18"/>
          <w:szCs w:val="18"/>
          <w:lang w:eastAsia="zh-CN"/>
        </w:rPr>
        <w:t>：</w:t>
      </w:r>
      <w:r>
        <w:rPr>
          <w:rFonts w:hint="eastAsia" w:ascii="微软雅黑" w:hAnsi="微软雅黑" w:eastAsia="微软雅黑" w:cs="微软雅黑"/>
          <w:color w:val="auto"/>
          <w:sz w:val="18"/>
          <w:szCs w:val="18"/>
        </w:rPr>
        <w:t xml:space="preserve">   </w:t>
      </w:r>
    </w:p>
    <w:p w14:paraId="0601441F">
      <w:pPr>
        <w:keepNext w:val="0"/>
        <w:keepLines w:val="0"/>
        <w:pageBreakBefore w:val="0"/>
        <w:kinsoku/>
        <w:wordWrap/>
        <w:overflowPunct/>
        <w:topLinePunct w:val="0"/>
        <w:autoSpaceDE/>
        <w:autoSpaceDN/>
        <w:bidi w:val="0"/>
        <w:adjustRightInd w:val="0"/>
        <w:snapToGrid/>
        <w:spacing w:before="157" w:beforeLines="50" w:after="157" w:afterLines="50" w:line="360" w:lineRule="auto"/>
        <w:ind w:firstLine="360" w:firstLineChars="200"/>
        <w:jc w:val="both"/>
        <w:rPr>
          <w:rFonts w:hint="eastAsia" w:ascii="微软雅黑" w:hAnsi="微软雅黑" w:eastAsia="微软雅黑" w:cs="微软雅黑"/>
          <w:color w:val="auto"/>
          <w:sz w:val="18"/>
          <w:szCs w:val="18"/>
        </w:rPr>
      </w:pPr>
    </w:p>
    <w:p w14:paraId="544449C6">
      <w:pPr>
        <w:keepNext w:val="0"/>
        <w:keepLines w:val="0"/>
        <w:pageBreakBefore w:val="0"/>
        <w:kinsoku/>
        <w:wordWrap/>
        <w:overflowPunct/>
        <w:topLinePunct w:val="0"/>
        <w:autoSpaceDE/>
        <w:autoSpaceDN/>
        <w:bidi w:val="0"/>
        <w:adjustRightInd w:val="0"/>
        <w:snapToGrid/>
        <w:spacing w:before="157" w:beforeLines="50" w:after="157" w:afterLines="50" w:line="360" w:lineRule="auto"/>
        <w:ind w:firstLine="360" w:firstLineChars="200"/>
        <w:jc w:val="both"/>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法人或授权代表（签章）</w:t>
      </w:r>
      <w:r>
        <w:rPr>
          <w:rFonts w:hint="eastAsia" w:ascii="微软雅黑" w:hAnsi="微软雅黑" w:cs="微软雅黑"/>
          <w:color w:val="auto"/>
          <w:sz w:val="18"/>
          <w:szCs w:val="18"/>
          <w:lang w:eastAsia="zh-CN"/>
        </w:rPr>
        <w:t>：</w:t>
      </w:r>
      <w:r>
        <w:rPr>
          <w:rFonts w:hint="eastAsia" w:ascii="微软雅黑" w:hAnsi="微软雅黑" w:eastAsia="微软雅黑" w:cs="微软雅黑"/>
          <w:color w:val="auto"/>
          <w:sz w:val="18"/>
          <w:szCs w:val="18"/>
        </w:rPr>
        <w:t xml:space="preserve">                                           </w:t>
      </w:r>
    </w:p>
    <w:p w14:paraId="29C37A6B">
      <w:pPr>
        <w:keepNext w:val="0"/>
        <w:keepLines w:val="0"/>
        <w:pageBreakBefore w:val="0"/>
        <w:kinsoku/>
        <w:wordWrap/>
        <w:overflowPunct/>
        <w:topLinePunct w:val="0"/>
        <w:autoSpaceDE/>
        <w:autoSpaceDN/>
        <w:bidi w:val="0"/>
        <w:adjustRightInd w:val="0"/>
        <w:snapToGrid/>
        <w:spacing w:before="157" w:beforeLines="50" w:after="157" w:afterLines="50" w:line="360" w:lineRule="auto"/>
        <w:ind w:firstLine="360" w:firstLineChars="200"/>
        <w:jc w:val="both"/>
        <w:rPr>
          <w:rFonts w:hint="eastAsia" w:ascii="微软雅黑" w:hAnsi="微软雅黑" w:eastAsia="微软雅黑" w:cs="微软雅黑"/>
          <w:color w:val="auto"/>
          <w:sz w:val="18"/>
          <w:szCs w:val="18"/>
        </w:rPr>
      </w:pPr>
    </w:p>
    <w:p w14:paraId="2E341286">
      <w:pPr>
        <w:keepNext w:val="0"/>
        <w:keepLines w:val="0"/>
        <w:pageBreakBefore w:val="0"/>
        <w:kinsoku/>
        <w:wordWrap/>
        <w:overflowPunct/>
        <w:topLinePunct w:val="0"/>
        <w:autoSpaceDE/>
        <w:autoSpaceDN/>
        <w:bidi w:val="0"/>
        <w:adjustRightInd w:val="0"/>
        <w:snapToGrid/>
        <w:spacing w:before="157" w:beforeLines="50" w:after="157" w:afterLines="50" w:line="360" w:lineRule="auto"/>
        <w:ind w:firstLine="360" w:firstLineChars="200"/>
        <w:jc w:val="right"/>
        <w:rPr>
          <w:rFonts w:hint="eastAsia" w:ascii="微软雅黑" w:hAnsi="微软雅黑" w:eastAsia="微软雅黑" w:cs="微软雅黑"/>
          <w:color w:val="auto"/>
          <w:sz w:val="18"/>
          <w:szCs w:val="18"/>
        </w:rPr>
      </w:pPr>
      <w:r>
        <w:rPr>
          <w:rFonts w:hint="eastAsia" w:ascii="微软雅黑" w:hAnsi="微软雅黑" w:eastAsia="微软雅黑" w:cs="微软雅黑"/>
          <w:color w:val="auto"/>
          <w:sz w:val="18"/>
          <w:szCs w:val="18"/>
        </w:rPr>
        <w:t>协议签订日期：</w:t>
      </w:r>
      <w:r>
        <w:rPr>
          <w:rFonts w:hint="eastAsia" w:ascii="微软雅黑" w:hAnsi="微软雅黑" w:cs="微软雅黑"/>
          <w:color w:val="auto"/>
          <w:sz w:val="18"/>
          <w:szCs w:val="18"/>
          <w:lang w:val="en-US" w:eastAsia="zh-CN"/>
        </w:rPr>
        <w:t>：</w:t>
      </w:r>
      <w:r>
        <w:rPr>
          <w:rFonts w:hint="eastAsia" w:ascii="微软雅黑" w:hAnsi="微软雅黑" w:eastAsia="微软雅黑" w:cs="微软雅黑"/>
          <w:color w:val="auto"/>
          <w:sz w:val="18"/>
          <w:szCs w:val="18"/>
        </w:rPr>
        <w:t xml:space="preserve">                           </w:t>
      </w:r>
    </w:p>
    <w:p w14:paraId="3D1B2ADF">
      <w:pPr>
        <w:keepNext w:val="0"/>
        <w:keepLines w:val="0"/>
        <w:pageBreakBefore w:val="0"/>
        <w:kinsoku/>
        <w:wordWrap/>
        <w:overflowPunct/>
        <w:topLinePunct w:val="0"/>
        <w:autoSpaceDE/>
        <w:autoSpaceDN/>
        <w:bidi w:val="0"/>
        <w:adjustRightInd w:val="0"/>
        <w:snapToGrid/>
        <w:spacing w:before="157" w:beforeLines="50" w:after="157" w:afterLines="50" w:line="360" w:lineRule="auto"/>
        <w:ind w:firstLine="360" w:firstLineChars="200"/>
        <w:jc w:val="both"/>
        <w:rPr>
          <w:rFonts w:hint="eastAsia" w:ascii="微软雅黑" w:hAnsi="微软雅黑" w:eastAsia="微软雅黑" w:cs="微软雅黑"/>
          <w:color w:val="auto"/>
          <w:sz w:val="18"/>
          <w:szCs w:val="18"/>
        </w:rPr>
      </w:pPr>
    </w:p>
    <w:p w14:paraId="15D64FA3">
      <w:pPr>
        <w:keepNext w:val="0"/>
        <w:keepLines w:val="0"/>
        <w:pageBreakBefore w:val="0"/>
        <w:kinsoku/>
        <w:wordWrap/>
        <w:overflowPunct/>
        <w:topLinePunct w:val="0"/>
        <w:bidi w:val="0"/>
        <w:snapToGrid/>
        <w:spacing w:before="157" w:beforeLines="50" w:after="157" w:afterLines="50" w:line="360" w:lineRule="auto"/>
        <w:jc w:val="both"/>
        <w:rPr>
          <w:rFonts w:hint="eastAsia" w:ascii="微软雅黑" w:hAnsi="微软雅黑" w:eastAsia="微软雅黑" w:cs="微软雅黑"/>
          <w:color w:val="auto"/>
          <w:sz w:val="18"/>
          <w:szCs w:val="18"/>
        </w:rPr>
      </w:pPr>
    </w:p>
    <w:p w14:paraId="248F8681">
      <w:pPr>
        <w:keepNext w:val="0"/>
        <w:keepLines w:val="0"/>
        <w:pageBreakBefore w:val="0"/>
        <w:kinsoku/>
        <w:wordWrap/>
        <w:overflowPunct/>
        <w:topLinePunct w:val="0"/>
        <w:bidi w:val="0"/>
        <w:snapToGrid/>
        <w:spacing w:before="0" w:beforeLines="-2147483648" w:after="0" w:afterLines="-2147483648" w:line="240" w:lineRule="auto"/>
        <w:jc w:val="left"/>
        <w:rPr>
          <w:rFonts w:hint="eastAsia" w:ascii="微软雅黑" w:hAnsi="微软雅黑" w:cs="微软雅黑"/>
          <w:color w:val="auto"/>
          <w:sz w:val="18"/>
          <w:szCs w:val="18"/>
        </w:rPr>
      </w:pPr>
    </w:p>
    <w:p w14:paraId="1A9A374B"/>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宋体-简"/>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黑体-简"/>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微软雅黑">
    <w:altName w:val="汉仪旗黑"/>
    <w:panose1 w:val="020B0503020204020204"/>
    <w:charset w:val="86"/>
    <w:family w:val="swiss"/>
    <w:pitch w:val="default"/>
    <w:sig w:usb0="00000000" w:usb1="00000000" w:usb2="00000016" w:usb3="00000000" w:csb0="0004001F" w:csb1="00000000"/>
  </w:font>
  <w:font w:name="宋体-简">
    <w:panose1 w:val="02010800040101010101"/>
    <w:charset w:val="86"/>
    <w:family w:val="auto"/>
    <w:pitch w:val="default"/>
    <w:sig w:usb0="00000001" w:usb1="080F0000" w:usb2="00000000" w:usb3="00000000" w:csb0="00040000" w:csb1="00000000"/>
  </w:font>
  <w:font w:name="汉仪旗黑">
    <w:panose1 w:val="00020600040101010101"/>
    <w:charset w:val="86"/>
    <w:family w:val="auto"/>
    <w:pitch w:val="default"/>
    <w:sig w:usb0="A00002BF" w:usb1="1ACF7CFA" w:usb2="00000016" w:usb3="00000000" w:csb0="0004009F" w:csb1="DFD7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6335A">
    <w:pPr>
      <w:pStyle w:val="6"/>
      <w:jc w:val="center"/>
    </w:pPr>
    <w:r>
      <mc:AlternateContent>
        <mc:Choice Requires="wps">
          <w:drawing>
            <wp:anchor distT="0" distB="0" distL="114300" distR="114300" simplePos="0" relativeHeight="251659264" behindDoc="0" locked="0" layoutInCell="1" allowOverlap="1">
              <wp:simplePos x="0" y="0"/>
              <wp:positionH relativeFrom="margin">
                <wp:posOffset>2046605</wp:posOffset>
              </wp:positionH>
              <wp:positionV relativeFrom="paragraph">
                <wp:posOffset>158115</wp:posOffset>
              </wp:positionV>
              <wp:extent cx="1019810" cy="153035"/>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019810" cy="153035"/>
                      </a:xfrm>
                      <a:prstGeom prst="rect">
                        <a:avLst/>
                      </a:prstGeom>
                      <a:noFill/>
                      <a:ln>
                        <a:noFill/>
                      </a:ln>
                    </wps:spPr>
                    <wps:txbx>
                      <w:txbxContent>
                        <w:p w14:paraId="7782A8C7">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t>27</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sz w:val="18"/>
                            </w:rPr>
                            <w:t>27</w:t>
                          </w:r>
                          <w:r>
                            <w:rPr>
                              <w:rFonts w:hint="eastAsia"/>
                              <w:sz w:val="18"/>
                            </w:rPr>
                            <w:fldChar w:fldCharType="end"/>
                          </w:r>
                          <w:r>
                            <w:rPr>
                              <w:rFonts w:hint="eastAsia"/>
                              <w:sz w:val="18"/>
                            </w:rPr>
                            <w:t xml:space="preserve"> 页</w:t>
                          </w:r>
                        </w:p>
                      </w:txbxContent>
                    </wps:txbx>
                    <wps:bodyPr rot="0" vert="horz" wrap="square" lIns="0" tIns="0" rIns="0" bIns="0" anchor="t" anchorCtr="0" upright="1">
                      <a:spAutoFit/>
                    </wps:bodyPr>
                  </wps:wsp>
                </a:graphicData>
              </a:graphic>
            </wp:anchor>
          </w:drawing>
        </mc:Choice>
        <mc:Fallback>
          <w:pict>
            <v:shape id="_x0000_s1026" o:spid="_x0000_s1026" o:spt="202" type="#_x0000_t202" style="position:absolute;left:0pt;margin-left:161.15pt;margin-top:12.45pt;height:12.05pt;width:80.3pt;mso-position-horizontal-relative:margin;z-index:251659264;mso-width-relative:page;mso-height-relative:page;" filled="f" stroked="f" coordsize="21600,21600" o:gfxdata="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zgHZ6NYAAAAJAQAADwAAAAAAAAABACAAAAAi&#10;AAAAZHJzL2Rvd25yZXYueG1sUEsBAhQAFAAAAAgAh07iQN3qT8gMAgAABQQAAA4AAAAAAAAAAQAg&#10;AAAAJQEAAGRycy9lMm9Eb2MueG1sUEsFBgAAAAAGAAYAWQEAAKMFAAAAAA==&#10;">
              <v:fill on="f" focussize="0,0"/>
              <v:stroke on="f"/>
              <v:imagedata o:title=""/>
              <o:lock v:ext="edit" aspectratio="f"/>
              <v:textbox inset="0mm,0mm,0mm,0mm" style="mso-fit-shape-to-text:t;">
                <w:txbxContent>
                  <w:p w14:paraId="7782A8C7">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t>27</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sz w:val="18"/>
                      </w:rPr>
                      <w:t>27</w:t>
                    </w:r>
                    <w:r>
                      <w:rPr>
                        <w:rFonts w:hint="eastAsia"/>
                        <w:sz w:val="18"/>
                      </w:rPr>
                      <w:fldChar w:fldCharType="end"/>
                    </w:r>
                    <w:r>
                      <w:rPr>
                        <w:rFonts w:hint="eastAsia"/>
                        <w:sz w:val="18"/>
                      </w:rPr>
                      <w:t xml:space="preserve"> 页</w:t>
                    </w:r>
                  </w:p>
                </w:txbxContent>
              </v:textbox>
            </v:shape>
          </w:pict>
        </mc:Fallback>
      </mc:AlternateContent>
    </w: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136B8">
    <w:pPr>
      <w:pStyle w:val="7"/>
      <w:jc w:val="left"/>
      <w:rPr>
        <w:rFonts w:hint="eastAsia" w:eastAsia="微软雅黑"/>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500EF6"/>
    <w:multiLevelType w:val="multilevel"/>
    <w:tmpl w:val="C1500EF6"/>
    <w:lvl w:ilvl="0" w:tentative="0">
      <w:start w:val="1"/>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1">
    <w:nsid w:val="CCB1B67A"/>
    <w:multiLevelType w:val="multilevel"/>
    <w:tmpl w:val="CCB1B67A"/>
    <w:lvl w:ilvl="0" w:tentative="0">
      <w:start w:val="1"/>
      <w:numFmt w:val="decimal"/>
      <w:pStyle w:val="2"/>
      <w:lvlText w:val="%1."/>
      <w:lvlJc w:val="left"/>
      <w:pPr>
        <w:tabs>
          <w:tab w:val="left" w:pos="850"/>
        </w:tabs>
        <w:ind w:left="567" w:leftChars="0" w:hanging="567" w:firstLineChars="0"/>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
    <w:nsid w:val="064C36AB"/>
    <w:multiLevelType w:val="multilevel"/>
    <w:tmpl w:val="064C36AB"/>
    <w:lvl w:ilvl="0" w:tentative="0">
      <w:start w:val="1"/>
      <w:numFmt w:val="decimal"/>
      <w:isLg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
    <w:nsid w:val="17E23F8D"/>
    <w:multiLevelType w:val="multilevel"/>
    <w:tmpl w:val="17E23F8D"/>
    <w:lvl w:ilvl="0" w:tentative="0">
      <w:start w:val="1"/>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b w:val="0"/>
        <w:bCs w:val="0"/>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4">
    <w:nsid w:val="2982BF0D"/>
    <w:multiLevelType w:val="singleLevel"/>
    <w:tmpl w:val="2982BF0D"/>
    <w:lvl w:ilvl="0" w:tentative="0">
      <w:start w:val="1"/>
      <w:numFmt w:val="decimal"/>
      <w:suff w:val="space"/>
      <w:lvlText w:val="%1."/>
      <w:lvlJc w:val="left"/>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BFE33EF"/>
    <w:rsid w:val="071C7650"/>
    <w:rsid w:val="07331958"/>
    <w:rsid w:val="0F8A900C"/>
    <w:rsid w:val="173B109B"/>
    <w:rsid w:val="19125838"/>
    <w:rsid w:val="1B0C2C06"/>
    <w:rsid w:val="1B2317F7"/>
    <w:rsid w:val="1F701A60"/>
    <w:rsid w:val="1FBD1C32"/>
    <w:rsid w:val="1FEE0618"/>
    <w:rsid w:val="3AE7A007"/>
    <w:rsid w:val="3FB54E20"/>
    <w:rsid w:val="420B43B2"/>
    <w:rsid w:val="4EEFED9E"/>
    <w:rsid w:val="4EFFE77F"/>
    <w:rsid w:val="59BE5F98"/>
    <w:rsid w:val="5BEA5D35"/>
    <w:rsid w:val="5D7DFE4C"/>
    <w:rsid w:val="63486797"/>
    <w:rsid w:val="660F54A7"/>
    <w:rsid w:val="6DDD3CB6"/>
    <w:rsid w:val="73FF01F7"/>
    <w:rsid w:val="74396DE4"/>
    <w:rsid w:val="7ADF639E"/>
    <w:rsid w:val="7B75D2F2"/>
    <w:rsid w:val="7F627C90"/>
    <w:rsid w:val="9FFF88ED"/>
    <w:rsid w:val="BBFE33EF"/>
    <w:rsid w:val="BEFAB3DE"/>
    <w:rsid w:val="CFF7E2BB"/>
    <w:rsid w:val="D5FBD0B6"/>
    <w:rsid w:val="DD5BE305"/>
    <w:rsid w:val="DD7F3C25"/>
    <w:rsid w:val="DFBC1352"/>
    <w:rsid w:val="EDF3D017"/>
    <w:rsid w:val="EFBA8122"/>
    <w:rsid w:val="F4F70C8B"/>
    <w:rsid w:val="F9FE38BF"/>
    <w:rsid w:val="FAB50839"/>
    <w:rsid w:val="FAEF7D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50" w:beforeLines="50" w:after="280" w:line="360" w:lineRule="auto"/>
      <w:jc w:val="left"/>
    </w:pPr>
    <w:rPr>
      <w:rFonts w:eastAsia="微软雅黑" w:asciiTheme="minorAscii" w:hAnsiTheme="minorAscii" w:cstheme="minorBidi"/>
      <w:kern w:val="2"/>
      <w:sz w:val="21"/>
      <w:szCs w:val="22"/>
      <w:lang w:val="en-US" w:eastAsia="zh-CN" w:bidi="ar-SA"/>
    </w:rPr>
  </w:style>
  <w:style w:type="paragraph" w:styleId="2">
    <w:name w:val="heading 1"/>
    <w:basedOn w:val="3"/>
    <w:next w:val="1"/>
    <w:qFormat/>
    <w:uiPriority w:val="9"/>
    <w:pPr>
      <w:keepNext/>
      <w:keepLines/>
      <w:numPr>
        <w:ilvl w:val="0"/>
        <w:numId w:val="1"/>
      </w:numPr>
      <w:tabs>
        <w:tab w:val="left" w:pos="567"/>
      </w:tabs>
      <w:spacing w:before="340" w:beforeLines="0" w:beforeAutospacing="0" w:after="330" w:afterLines="0" w:afterAutospacing="0" w:line="576" w:lineRule="auto"/>
      <w:ind w:left="567" w:hanging="567"/>
      <w:jc w:val="left"/>
      <w:outlineLvl w:val="0"/>
    </w:pPr>
    <w:rPr>
      <w:rFonts w:eastAsia="微软雅黑" w:asciiTheme="minorAscii" w:hAnsiTheme="minorAscii"/>
      <w:kern w:val="44"/>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4">
    <w:name w:val="annotation text"/>
    <w:basedOn w:val="1"/>
    <w:link w:val="21"/>
    <w:unhideWhenUsed/>
    <w:qFormat/>
    <w:uiPriority w:val="99"/>
    <w:pPr>
      <w:jc w:val="left"/>
    </w:pPr>
  </w:style>
  <w:style w:type="paragraph" w:styleId="5">
    <w:name w:val="Balloon Text"/>
    <w:basedOn w:val="1"/>
    <w:link w:val="20"/>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rPr>
      <w:sz w:val="24"/>
    </w:rPr>
  </w:style>
  <w:style w:type="paragraph" w:styleId="9">
    <w:name w:val="annotation subject"/>
    <w:basedOn w:val="4"/>
    <w:next w:val="4"/>
    <w:link w:val="22"/>
    <w:unhideWhenUsed/>
    <w:qFormat/>
    <w:uiPriority w:val="99"/>
    <w:rPr>
      <w:b/>
      <w:bCs/>
    </w:rPr>
  </w:style>
  <w:style w:type="table" w:styleId="11">
    <w:name w:val="Table Grid"/>
    <w:basedOn w:val="1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rFonts w:ascii="Times New Roman" w:hAnsi="Times New Roman" w:eastAsia="宋体" w:cs="Times New Roman"/>
      <w:b/>
    </w:rPr>
  </w:style>
  <w:style w:type="character" w:styleId="14">
    <w:name w:val="Hyperlink"/>
    <w:basedOn w:val="12"/>
    <w:semiHidden/>
    <w:unhideWhenUsed/>
    <w:qFormat/>
    <w:uiPriority w:val="99"/>
    <w:rPr>
      <w:color w:val="0000FF"/>
      <w:u w:val="single"/>
    </w:rPr>
  </w:style>
  <w:style w:type="character" w:styleId="15">
    <w:name w:val="annotation reference"/>
    <w:basedOn w:val="12"/>
    <w:unhideWhenUsed/>
    <w:qFormat/>
    <w:uiPriority w:val="99"/>
    <w:rPr>
      <w:rFonts w:ascii="Times New Roman" w:hAnsi="Times New Roman" w:eastAsia="宋体" w:cs="Times New Roman"/>
      <w:sz w:val="21"/>
      <w:szCs w:val="21"/>
    </w:rPr>
  </w:style>
  <w:style w:type="character" w:customStyle="1" w:styleId="16">
    <w:name w:val="页脚 字符"/>
    <w:basedOn w:val="12"/>
    <w:link w:val="6"/>
    <w:qFormat/>
    <w:uiPriority w:val="99"/>
    <w:rPr>
      <w:rFonts w:ascii="Times New Roman" w:hAnsi="Times New Roman" w:eastAsia="宋体" w:cs="Times New Roman"/>
      <w:sz w:val="18"/>
      <w:szCs w:val="18"/>
    </w:rPr>
  </w:style>
  <w:style w:type="character" w:customStyle="1" w:styleId="17">
    <w:name w:val="页眉 字符"/>
    <w:basedOn w:val="12"/>
    <w:link w:val="7"/>
    <w:qFormat/>
    <w:uiPriority w:val="99"/>
    <w:rPr>
      <w:rFonts w:ascii="Times New Roman" w:hAnsi="Times New Roman" w:eastAsia="宋体" w:cs="Times New Roman"/>
      <w:sz w:val="18"/>
      <w:szCs w:val="18"/>
    </w:rPr>
  </w:style>
  <w:style w:type="paragraph" w:customStyle="1" w:styleId="18">
    <w:name w:val="列出段落1"/>
    <w:basedOn w:val="1"/>
    <w:qFormat/>
    <w:uiPriority w:val="34"/>
    <w:pPr>
      <w:ind w:firstLine="420" w:firstLineChars="200"/>
    </w:pPr>
  </w:style>
  <w:style w:type="paragraph" w:customStyle="1" w:styleId="19">
    <w:name w:val="Default"/>
    <w:qFormat/>
    <w:uiPriority w:val="99"/>
    <w:pPr>
      <w:widowControl w:val="0"/>
      <w:autoSpaceDE w:val="0"/>
      <w:autoSpaceDN w:val="0"/>
      <w:adjustRightInd w:val="0"/>
      <w:spacing w:after="160" w:line="259" w:lineRule="auto"/>
    </w:pPr>
    <w:rPr>
      <w:rFonts w:ascii="宋体" w:hAnsi="Calibri" w:eastAsia="宋体" w:cs="宋体"/>
      <w:color w:val="000000"/>
      <w:sz w:val="24"/>
      <w:szCs w:val="24"/>
      <w:lang w:val="en-US" w:eastAsia="zh-CN" w:bidi="ar-SA"/>
    </w:rPr>
  </w:style>
  <w:style w:type="character" w:customStyle="1" w:styleId="20">
    <w:name w:val="批注框文本 字符"/>
    <w:basedOn w:val="12"/>
    <w:link w:val="5"/>
    <w:semiHidden/>
    <w:qFormat/>
    <w:uiPriority w:val="99"/>
    <w:rPr>
      <w:rFonts w:ascii="Times New Roman" w:hAnsi="Times New Roman" w:eastAsia="宋体" w:cs="Times New Roman"/>
      <w:sz w:val="18"/>
      <w:szCs w:val="18"/>
    </w:rPr>
  </w:style>
  <w:style w:type="character" w:customStyle="1" w:styleId="21">
    <w:name w:val="批注文字 字符"/>
    <w:basedOn w:val="12"/>
    <w:link w:val="4"/>
    <w:semiHidden/>
    <w:qFormat/>
    <w:uiPriority w:val="99"/>
    <w:rPr>
      <w:rFonts w:ascii="Times New Roman" w:hAnsi="Times New Roman" w:eastAsia="宋体" w:cs="Times New Roman"/>
    </w:rPr>
  </w:style>
  <w:style w:type="character" w:customStyle="1" w:styleId="22">
    <w:name w:val="批注主题 字符"/>
    <w:basedOn w:val="21"/>
    <w:link w:val="9"/>
    <w:semiHidden/>
    <w:qFormat/>
    <w:uiPriority w:val="99"/>
    <w:rPr>
      <w:b/>
      <w:bCs/>
    </w:rPr>
  </w:style>
  <w:style w:type="paragraph" w:customStyle="1" w:styleId="23">
    <w:name w:val="List Paragraph1"/>
    <w:basedOn w:val="1"/>
    <w:qFormat/>
    <w:uiPriority w:val="99"/>
    <w:pPr>
      <w:ind w:firstLine="420" w:firstLineChars="200"/>
    </w:pPr>
  </w:style>
  <w:style w:type="paragraph" w:customStyle="1" w:styleId="24">
    <w:name w:val="正文1"/>
    <w:qFormat/>
    <w:uiPriority w:val="0"/>
    <w:pPr>
      <w:spacing w:after="160" w:line="259" w:lineRule="auto"/>
      <w:jc w:val="both"/>
    </w:pPr>
    <w:rPr>
      <w:rFonts w:ascii="宋体" w:hAnsi="宋体" w:eastAsia="宋体" w:cs="宋体"/>
      <w:kern w:val="2"/>
      <w:sz w:val="21"/>
      <w:szCs w:val="21"/>
      <w:lang w:val="en-US" w:eastAsia="zh-CN" w:bidi="ar-SA"/>
    </w:rPr>
  </w:style>
  <w:style w:type="paragraph" w:customStyle="1" w:styleId="25">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6">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7">
    <w:name w:val="修订3"/>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8">
    <w:name w:val="列表段落1"/>
    <w:basedOn w:val="1"/>
    <w:qFormat/>
    <w:uiPriority w:val="99"/>
    <w:pPr>
      <w:ind w:firstLine="420" w:firstLineChars="200"/>
    </w:pPr>
  </w:style>
  <w:style w:type="paragraph" w:styleId="29">
    <w:name w:val="List Paragraph"/>
    <w:basedOn w:val="1"/>
    <w:unhideWhenUsed/>
    <w:qFormat/>
    <w:uiPriority w:val="99"/>
    <w:pPr>
      <w:ind w:firstLine="420" w:firstLineChars="200"/>
    </w:pPr>
  </w:style>
  <w:style w:type="paragraph" w:customStyle="1" w:styleId="30">
    <w:name w:val="上海镒坤范式合同样式"/>
    <w:basedOn w:val="1"/>
    <w:next w:val="2"/>
    <w:qFormat/>
    <w:uiPriority w:val="0"/>
    <w:pPr>
      <w:spacing w:before="100" w:beforeLines="100" w:after="100" w:afterLines="100" w:line="360" w:lineRule="auto"/>
      <w:jc w:val="center"/>
    </w:pPr>
    <w:rPr>
      <w:rFonts w:hint="eastAsia" w:ascii="微软雅黑" w:hAnsi="微软雅黑" w:eastAsia="微软雅黑" w:cs="微软雅黑"/>
      <w:b/>
      <w:sz w:val="44"/>
      <w:szCs w:val="44"/>
    </w:rPr>
  </w:style>
  <w:style w:type="paragraph" w:customStyle="1" w:styleId="31">
    <w:name w:val="样式1"/>
    <w:basedOn w:val="1"/>
    <w:link w:val="32"/>
    <w:qFormat/>
    <w:uiPriority w:val="0"/>
  </w:style>
  <w:style w:type="character" w:customStyle="1" w:styleId="32">
    <w:name w:val="样式1 Char"/>
    <w:link w:val="31"/>
    <w:qFormat/>
    <w:uiPriority w:val="0"/>
    <w:rPr>
      <w:rFonts w:ascii="Times New Roman" w:hAnsi="Times New Roman" w:eastAsia="宋体" w:cs="Times New Roman"/>
    </w:rPr>
  </w:style>
  <w:style w:type="paragraph" w:customStyle="1" w:styleId="33">
    <w:name w:val="样式2"/>
    <w:basedOn w:val="1"/>
    <w:link w:val="34"/>
    <w:qFormat/>
    <w:uiPriority w:val="0"/>
  </w:style>
  <w:style w:type="character" w:customStyle="1" w:styleId="34">
    <w:name w:val="样式2 Char"/>
    <w:link w:val="33"/>
    <w:qFormat/>
    <w:uiPriority w:val="0"/>
    <w:rPr>
      <w:rFonts w:ascii="Times New Roman" w:hAnsi="Times New Roman" w:eastAsia="宋体" w:cs="Times New Roman"/>
    </w:rPr>
  </w:style>
  <w:style w:type="paragraph" w:customStyle="1" w:styleId="35">
    <w:name w:val="样式3"/>
    <w:basedOn w:val="1"/>
    <w:qFormat/>
    <w:uiPriority w:val="0"/>
  </w:style>
  <w:style w:type="paragraph" w:customStyle="1" w:styleId="36">
    <w:name w:val="样式4"/>
    <w:basedOn w:val="1"/>
    <w:link w:val="37"/>
    <w:qFormat/>
    <w:uiPriority w:val="0"/>
  </w:style>
  <w:style w:type="character" w:customStyle="1" w:styleId="37">
    <w:name w:val="样式4 Char"/>
    <w:link w:val="36"/>
    <w:qFormat/>
    <w:uiPriority w:val="0"/>
    <w:rPr>
      <w:rFonts w:ascii="Times New Roman" w:hAnsi="Times New Roman" w:eastAsia="宋体" w:cs="Times New Roman"/>
    </w:rPr>
  </w:style>
  <w:style w:type="character" w:customStyle="1" w:styleId="38">
    <w:name w:val="样式5"/>
    <w:basedOn w:val="12"/>
    <w:qFormat/>
    <w:uiPriority w:val="0"/>
    <w:rPr>
      <w:rFonts w:ascii="Times New Roman" w:hAnsi="Times New Roman" w:eastAsia="微软雅黑" w:cs="Times New Roman"/>
      <w:sz w:val="15"/>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417e902-29cc-48ab-b3be-776750d9bb1a}"/>
        <w:style w:val=""/>
        <w:category>
          <w:name w:val="常规"/>
          <w:gallery w:val="placeholder"/>
        </w:category>
        <w:types>
          <w:type w:val="bbPlcHdr"/>
        </w:types>
        <w:behaviors>
          <w:behavior w:val="content"/>
        </w:behaviors>
        <w:description w:val=""/>
        <w:guid w:val="{8417e902-29cc-48ab-b3be-776750d9bb1a}"/>
      </w:docPartPr>
      <w:docPartBody>
        <w:p w14:paraId="39577D3E">
          <w:r>
            <w:rPr>
              <w:color w:val="808080"/>
            </w:rPr>
            <w:t>单击此处输入文字。</w:t>
          </w:r>
        </w:p>
      </w:docPartBody>
    </w:docPart>
    <w:docPart>
      <w:docPartPr>
        <w:name w:val="{a009d4b8-44d6-4934-bee6-244d236e89d4}"/>
        <w:style w:val=""/>
        <w:category>
          <w:name w:val="常规"/>
          <w:gallery w:val="placeholder"/>
        </w:category>
        <w:types>
          <w:type w:val="bbPlcHdr"/>
        </w:types>
        <w:behaviors>
          <w:behavior w:val="content"/>
        </w:behaviors>
        <w:description w:val=""/>
        <w:guid w:val="{a009d4b8-44d6-4934-bee6-244d236e89d4}"/>
      </w:docPartPr>
      <w:docPartBody>
        <w:p w14:paraId="7AEE178D">
          <w:r>
            <w:rPr>
              <w:color w:val="808080"/>
            </w:rPr>
            <w:t>选择一项。</w:t>
          </w:r>
        </w:p>
      </w:docPartBody>
    </w:docPart>
    <w:docPart>
      <w:docPartPr>
        <w:name w:val="{29256ed7-a5dd-4028-9626-bc97c86feb88}"/>
        <w:style w:val=""/>
        <w:category>
          <w:name w:val="常规"/>
          <w:gallery w:val="placeholder"/>
        </w:category>
        <w:types>
          <w:type w:val="bbPlcHdr"/>
        </w:types>
        <w:behaviors>
          <w:behavior w:val="content"/>
        </w:behaviors>
        <w:description w:val=""/>
        <w:guid w:val="{29256ed7-a5dd-4028-9626-bc97c86feb88}"/>
      </w:docPartPr>
      <w:docPartBody>
        <w:p w14:paraId="3EAA45B5">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宋体-简"/>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黑体-简"/>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15859</Words>
  <Characters>17028</Characters>
  <Lines>0</Lines>
  <Paragraphs>0</Paragraphs>
  <TotalTime>45</TotalTime>
  <ScaleCrop>false</ScaleCrop>
  <LinksUpToDate>false</LinksUpToDate>
  <CharactersWithSpaces>17722</CharactersWithSpaces>
  <Application>WPS Office_12.1.29182.29182_F1E327BC-269C-435d-A152-05C5408002CA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2026-06-16T11:02:00Z</dcterms:created>
  <dc:creator>WPS_1731307399</dc:creator>
  <cp:lastModifiedBy>liao</cp:lastModifiedBy>
  <dcterms:modified xsi:type="dcterms:W3CDTF">2026-10-24T17:58:43Z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2052-12.1.29182.29182</vt:lpwstr>
  </property>
  <property fmtid="{D5CDD505-2E9C-101B-9397-08002B2CF9AE}" pid="3" name="ICV">
    <vt:lpwstr>24E48BE139D042A481712A98C673705B_13</vt:lpwstr>
  </property>
  <property fmtid="{D5CDD505-2E9C-101B-9397-08002B2CF9AE}" pid="4" name="KSOTemplateDocerSaveRecord">
    <vt:lpwstr>eyJoZGlkIjoiZmQ0NTZhNGUzYzEzYzI0OTc1ZTEyMzZjMGQzNzc2MTkiLCJ1c2VySWQiOiI0MjE3MjE5MjUifQ==</vt:lpwstr>
  </property>
</Properties>
</file>